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7DC" w:rsidRPr="000E1664" w:rsidRDefault="00A177DC" w:rsidP="00A177DC">
      <w:pPr>
        <w:pStyle w:val="Balk1"/>
        <w:spacing w:before="0" w:line="240" w:lineRule="auto"/>
        <w:ind w:left="7080" w:right="-1320"/>
        <w:rPr>
          <w:rFonts w:asciiTheme="minorHAnsi" w:hAnsiTheme="minorHAnsi" w:cs="Arial"/>
          <w:color w:val="595959" w:themeColor="text1" w:themeTint="A6"/>
        </w:rPr>
      </w:pPr>
      <w:r>
        <w:rPr>
          <w:rFonts w:asciiTheme="minorHAnsi" w:hAnsiTheme="minorHAnsi" w:cs="Arial"/>
          <w:color w:val="002060"/>
          <w:sz w:val="36"/>
        </w:rPr>
        <w:t xml:space="preserve">         </w:t>
      </w:r>
      <w:r w:rsidRPr="000E1664">
        <w:rPr>
          <w:rFonts w:asciiTheme="minorHAnsi" w:hAnsiTheme="minorHAnsi" w:cs="Arial"/>
          <w:color w:val="595959" w:themeColor="text1" w:themeTint="A6"/>
          <w:sz w:val="36"/>
        </w:rPr>
        <w:t>HABER BÜLTENİ</w:t>
      </w:r>
    </w:p>
    <w:p w:rsidR="00A177DC" w:rsidRPr="000E1664" w:rsidRDefault="00723E60" w:rsidP="00A177DC">
      <w:pPr>
        <w:pStyle w:val="Balk1"/>
        <w:spacing w:before="0" w:line="240" w:lineRule="auto"/>
        <w:ind w:right="-1200"/>
        <w:rPr>
          <w:rFonts w:asciiTheme="minorHAnsi" w:hAnsiTheme="minorHAnsi" w:cs="Arial"/>
          <w:color w:val="595959" w:themeColor="text1" w:themeTint="A6"/>
        </w:rPr>
      </w:pPr>
      <w:r>
        <w:rPr>
          <w:b w:val="0"/>
          <w:noProof/>
          <w:color w:val="001AC9"/>
        </w:rPr>
        <mc:AlternateContent>
          <mc:Choice Requires="wps">
            <w:drawing>
              <wp:anchor distT="4294967291" distB="4294967291" distL="114300" distR="114300" simplePos="0" relativeHeight="251658240" behindDoc="0" locked="0" layoutInCell="1" allowOverlap="1">
                <wp:simplePos x="0" y="0"/>
                <wp:positionH relativeFrom="column">
                  <wp:posOffset>-856615</wp:posOffset>
                </wp:positionH>
                <wp:positionV relativeFrom="paragraph">
                  <wp:posOffset>19049</wp:posOffset>
                </wp:positionV>
                <wp:extent cx="5662295" cy="0"/>
                <wp:effectExtent l="0" t="19050" r="14605" b="38100"/>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2295" cy="0"/>
                        </a:xfrm>
                        <a:prstGeom prst="straightConnector1">
                          <a:avLst/>
                        </a:prstGeom>
                        <a:noFill/>
                        <a:ln w="5715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E41E2A" id="_x0000_t32" coordsize="21600,21600" o:spt="32" o:oned="t" path="m,l21600,21600e" filled="f">
                <v:path arrowok="t" fillok="f" o:connecttype="none"/>
                <o:lock v:ext="edit" shapetype="t"/>
              </v:shapetype>
              <v:shape id="AutoShape 2" o:spid="_x0000_s1026" type="#_x0000_t32" style="position:absolute;margin-left:-67.45pt;margin-top:1.5pt;width:445.8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GNwIAAHcEAAAOAAAAZHJzL2Uyb0RvYy54bWysVE2P2yAQvVfqf0Dcs/7YJJtY66xWdtLL&#10;to202x/AAo5RMSAgcaKq/70DtqPd9lJVveBhmHkzb3j4/uHcSXTi1gmtSpzdpBhxRTUT6lDiby+7&#10;2Qoj54liRGrFS3zhDj9sPn64703Bc91qybhFAKJc0ZsSt96bIkkcbXlH3I02XMFho21HPGztIWGW&#10;9IDeySRP02XSa8uM1ZQ7B956OMSbiN80nPqvTeO4R7LE0JuPq43ra1iTzT0pDpaYVtCxDfIPXXRE&#10;KCh6haqJJ+hoxR9QnaBWO934G6q7RDeNoDxyADZZ+hub55YYHrnAcJy5jsn9P1j65bS3SLAS53cY&#10;KdLBHT0evY6lUR7m0xtXQFil9jYwpGf1bJ40/e6Q0lVL1IHH4JeLgdwsZCTvUsLGGajy2n/WDGII&#10;4MdhnRvbBUgYAzrHO7lc74SfPaLgXCyXeb5eYESns4QUU6Kxzn/iukPBKLHzlohD6yutFNy8tlks&#10;Q05Pzoe2SDElhKpK74SUUQBSoR5K3WWLNGY4LQULpyEuapFX0qITARX584Aqjx3QGXzLRZqOWgI3&#10;KG5w305uqHxFiX28K2D1UbHYR8sJ2462J0IONmRLFTqBmQCT0Rrk9WOdrrer7Wo+m+fL7Wye1vXs&#10;cVfNZ8tddreob+uqqrOfgVQ2L1rBGFeB1yT1bP53Uhof3SDSq9ivE0zeo0eK0Oz0jU1HUQQdDIp6&#10;1eyyt5NYQN0xeHyJ4fm83YP99n+x+QUAAP//AwBQSwMEFAAGAAgAAAAhALNwbsLcAAAACAEAAA8A&#10;AABkcnMvZG93bnJldi54bWxMj8tOwzAQRfdI/IM1SGxQ67SBPkKcqgKxYtWAWLvxNEmJx5bttuHv&#10;GdjA8mqO7txTbkY7iDOG2DtSMJtmIJAaZ3pqFby/vUxWIGLSZPTgCBV8YYRNdX1V6sK4C+3wXKdW&#10;cAnFQivoUvKFlLHp0Oo4dR6JbwcXrE4cQytN0Bcut4OcZ9lCWt0Tf+i0x6cOm8/6ZBXkO2M/7pav&#10;/Rz9Mch6+5z79VGp25tx+wgi4Zj+YPiZz9Oh4k17dyITxaBgMsvv18xyGzsxsHxYsMv+N8uqlP8F&#10;qm8AAAD//wMAUEsBAi0AFAAGAAgAAAAhALaDOJL+AAAA4QEAABMAAAAAAAAAAAAAAAAAAAAAAFtD&#10;b250ZW50X1R5cGVzXS54bWxQSwECLQAUAAYACAAAACEAOP0h/9YAAACUAQAACwAAAAAAAAAAAAAA&#10;AAAvAQAAX3JlbHMvLnJlbHNQSwECLQAUAAYACAAAACEA/xtkhjcCAAB3BAAADgAAAAAAAAAAAAAA&#10;AAAuAgAAZHJzL2Uyb0RvYy54bWxQSwECLQAUAAYACAAAACEAs3BuwtwAAAAIAQAADwAAAAAAAAAA&#10;AAAAAACRBAAAZHJzL2Rvd25yZXYueG1sUEsFBgAAAAAEAAQA8wAAAJoFAAAAAA==&#10;" strokecolor="#5a5a5a [2109]" strokeweight="4.5pt"/>
            </w:pict>
          </mc:Fallback>
        </mc:AlternateContent>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r>
      <w:r w:rsidR="00A177DC" w:rsidRPr="000E1664">
        <w:rPr>
          <w:rFonts w:asciiTheme="minorHAnsi" w:hAnsiTheme="minorHAnsi" w:cs="Arial"/>
          <w:color w:val="595959" w:themeColor="text1" w:themeTint="A6"/>
        </w:rPr>
        <w:tab/>
        <w:t xml:space="preserve">  </w:t>
      </w:r>
      <w:r w:rsidR="00A177DC" w:rsidRPr="000E1664">
        <w:rPr>
          <w:rFonts w:asciiTheme="minorHAnsi" w:hAnsiTheme="minorHAnsi" w:cs="Arial"/>
          <w:color w:val="595959" w:themeColor="text1" w:themeTint="A6"/>
          <w:sz w:val="24"/>
        </w:rPr>
        <w:t xml:space="preserve">          </w:t>
      </w:r>
      <w:r w:rsidR="000E1664" w:rsidRPr="000E1664">
        <w:rPr>
          <w:rFonts w:asciiTheme="minorHAnsi" w:hAnsiTheme="minorHAnsi" w:cs="Arial"/>
          <w:color w:val="595959" w:themeColor="text1" w:themeTint="A6"/>
          <w:sz w:val="24"/>
        </w:rPr>
        <w:t xml:space="preserve"> </w:t>
      </w:r>
      <w:r w:rsidR="000E1664">
        <w:rPr>
          <w:rFonts w:asciiTheme="minorHAnsi" w:hAnsiTheme="minorHAnsi" w:cs="Arial"/>
          <w:color w:val="595959" w:themeColor="text1" w:themeTint="A6"/>
          <w:sz w:val="24"/>
        </w:rPr>
        <w:t xml:space="preserve"> </w:t>
      </w:r>
      <w:r w:rsidR="008E261E">
        <w:rPr>
          <w:rFonts w:asciiTheme="minorHAnsi" w:hAnsiTheme="minorHAnsi" w:cs="Arial"/>
          <w:color w:val="595959" w:themeColor="text1" w:themeTint="A6"/>
        </w:rPr>
        <w:t>xx</w:t>
      </w:r>
      <w:r w:rsidR="00123191" w:rsidRPr="000E1664">
        <w:rPr>
          <w:rFonts w:asciiTheme="minorHAnsi" w:hAnsiTheme="minorHAnsi" w:cs="Arial"/>
          <w:color w:val="595959" w:themeColor="text1" w:themeTint="A6"/>
        </w:rPr>
        <w:t>.</w:t>
      </w:r>
      <w:proofErr w:type="gramStart"/>
      <w:r w:rsidR="00D82D18">
        <w:rPr>
          <w:rFonts w:asciiTheme="minorHAnsi" w:hAnsiTheme="minorHAnsi" w:cs="Arial"/>
          <w:color w:val="595959" w:themeColor="text1" w:themeTint="A6"/>
        </w:rPr>
        <w:t>05</w:t>
      </w:r>
      <w:r w:rsidR="005B29D9">
        <w:rPr>
          <w:rFonts w:asciiTheme="minorHAnsi" w:hAnsiTheme="minorHAnsi" w:cs="Arial"/>
          <w:color w:val="595959" w:themeColor="text1" w:themeTint="A6"/>
        </w:rPr>
        <w:t>.2016</w:t>
      </w:r>
      <w:proofErr w:type="gramEnd"/>
      <w:r w:rsidR="00046B0C">
        <w:rPr>
          <w:rFonts w:asciiTheme="minorHAnsi" w:hAnsiTheme="minorHAnsi" w:cs="Arial"/>
          <w:color w:val="595959" w:themeColor="text1" w:themeTint="A6"/>
        </w:rPr>
        <w:tab/>
        <w:t xml:space="preserve">   </w:t>
      </w:r>
      <w:r w:rsidR="00A177DC" w:rsidRPr="000E1664">
        <w:rPr>
          <w:rFonts w:asciiTheme="minorHAnsi" w:hAnsiTheme="minorHAnsi" w:cs="Arial"/>
          <w:color w:val="595959" w:themeColor="text1" w:themeTint="A6"/>
        </w:rPr>
        <w:t xml:space="preserve">Sayı </w:t>
      </w:r>
      <w:r w:rsidR="00D82D18">
        <w:rPr>
          <w:rFonts w:asciiTheme="minorHAnsi" w:hAnsiTheme="minorHAnsi" w:cs="Arial"/>
          <w:color w:val="595959" w:themeColor="text1" w:themeTint="A6"/>
        </w:rPr>
        <w:t>25</w:t>
      </w:r>
    </w:p>
    <w:p w:rsidR="00BC56D7" w:rsidRDefault="00BC56D7" w:rsidP="00BC56D7">
      <w:pPr>
        <w:pStyle w:val="Balk2"/>
        <w:spacing w:before="0" w:after="240" w:line="240" w:lineRule="auto"/>
        <w:jc w:val="both"/>
        <w:rPr>
          <w:rFonts w:asciiTheme="minorHAnsi" w:hAnsiTheme="minorHAnsi" w:cs="Arial"/>
          <w:color w:val="0070C0"/>
          <w:sz w:val="28"/>
        </w:rPr>
      </w:pPr>
    </w:p>
    <w:p w:rsidR="009F779F" w:rsidRPr="00715850" w:rsidRDefault="000E1664" w:rsidP="00715850">
      <w:pPr>
        <w:spacing w:after="240"/>
        <w:jc w:val="both"/>
        <w:rPr>
          <w:sz w:val="24"/>
        </w:rPr>
      </w:pPr>
      <w:r>
        <w:rPr>
          <w:sz w:val="24"/>
        </w:rPr>
        <w:t>Konya Sanayi Odası</w:t>
      </w:r>
      <w:r w:rsidR="000713D1" w:rsidRPr="000F08B4">
        <w:rPr>
          <w:sz w:val="24"/>
        </w:rPr>
        <w:t xml:space="preserve"> (</w:t>
      </w:r>
      <w:r>
        <w:rPr>
          <w:sz w:val="24"/>
        </w:rPr>
        <w:t>KSO</w:t>
      </w:r>
      <w:r w:rsidR="000713D1" w:rsidRPr="000F08B4">
        <w:rPr>
          <w:sz w:val="24"/>
        </w:rPr>
        <w:t>) ve Türkiye Ekonomi Politikaları Araştırma Vakfı (TEPAV)</w:t>
      </w:r>
      <w:r w:rsidR="000713D1">
        <w:rPr>
          <w:sz w:val="24"/>
        </w:rPr>
        <w:t xml:space="preserve"> işbirliğinde gerçekleştirilen</w:t>
      </w:r>
      <w:r w:rsidR="000713D1" w:rsidRPr="000F08B4">
        <w:rPr>
          <w:sz w:val="24"/>
        </w:rPr>
        <w:t xml:space="preserve"> </w:t>
      </w:r>
      <w:r w:rsidR="000713D1" w:rsidRPr="000E1664">
        <w:rPr>
          <w:b/>
          <w:sz w:val="24"/>
        </w:rPr>
        <w:t xml:space="preserve">Konya </w:t>
      </w:r>
      <w:r w:rsidRPr="000E1664">
        <w:rPr>
          <w:b/>
          <w:sz w:val="24"/>
        </w:rPr>
        <w:t>İmalat Sanayi</w:t>
      </w:r>
      <w:r w:rsidR="000713D1" w:rsidRPr="000E1664">
        <w:rPr>
          <w:b/>
          <w:sz w:val="24"/>
        </w:rPr>
        <w:t xml:space="preserve"> Güven Endeksi Anketi</w:t>
      </w:r>
      <w:r w:rsidR="000713D1">
        <w:rPr>
          <w:sz w:val="24"/>
        </w:rPr>
        <w:t>,</w:t>
      </w:r>
      <w:r w:rsidR="000713D1" w:rsidRPr="000F08B4">
        <w:rPr>
          <w:sz w:val="24"/>
        </w:rPr>
        <w:t xml:space="preserve"> </w:t>
      </w:r>
      <w:r w:rsidR="00F2581E">
        <w:rPr>
          <w:sz w:val="24"/>
        </w:rPr>
        <w:t>Türkiye’nin</w:t>
      </w:r>
      <w:r w:rsidR="000713D1">
        <w:rPr>
          <w:sz w:val="24"/>
        </w:rPr>
        <w:t xml:space="preserve"> yerel düzeyde </w:t>
      </w:r>
      <w:r>
        <w:rPr>
          <w:sz w:val="24"/>
        </w:rPr>
        <w:t>imalat sanayi</w:t>
      </w:r>
      <w:r w:rsidR="00A13AD5">
        <w:rPr>
          <w:sz w:val="24"/>
        </w:rPr>
        <w:t>n</w:t>
      </w:r>
      <w:r>
        <w:rPr>
          <w:sz w:val="24"/>
        </w:rPr>
        <w:t>deki</w:t>
      </w:r>
      <w:r w:rsidR="000713D1">
        <w:rPr>
          <w:sz w:val="24"/>
        </w:rPr>
        <w:t xml:space="preserve"> eğilimleri ölçen ilk gösterge oldu. Konya </w:t>
      </w:r>
      <w:r>
        <w:rPr>
          <w:sz w:val="24"/>
        </w:rPr>
        <w:t>İmalat Sanayi</w:t>
      </w:r>
      <w:r w:rsidR="000713D1">
        <w:rPr>
          <w:sz w:val="24"/>
        </w:rPr>
        <w:t xml:space="preserve"> Güven Endeksi </w:t>
      </w:r>
      <w:r w:rsidR="000713D1" w:rsidRPr="000F08B4">
        <w:rPr>
          <w:sz w:val="24"/>
        </w:rPr>
        <w:t xml:space="preserve">ile Konya’da </w:t>
      </w:r>
      <w:r>
        <w:rPr>
          <w:sz w:val="24"/>
        </w:rPr>
        <w:t>imalat sanayi</w:t>
      </w:r>
      <w:r w:rsidR="00A13AD5">
        <w:rPr>
          <w:sz w:val="24"/>
        </w:rPr>
        <w:t>n</w:t>
      </w:r>
      <w:r>
        <w:rPr>
          <w:sz w:val="24"/>
        </w:rPr>
        <w:t>de</w:t>
      </w:r>
      <w:r w:rsidR="000713D1">
        <w:rPr>
          <w:sz w:val="24"/>
        </w:rPr>
        <w:t xml:space="preserve"> </w:t>
      </w:r>
      <w:r w:rsidR="000713D1" w:rsidRPr="000F08B4">
        <w:rPr>
          <w:sz w:val="24"/>
        </w:rPr>
        <w:t>fa</w:t>
      </w:r>
      <w:r w:rsidR="000713D1">
        <w:rPr>
          <w:sz w:val="24"/>
        </w:rPr>
        <w:t>aliyet gösteren firmaların</w:t>
      </w:r>
      <w:r w:rsidR="000713D1" w:rsidRPr="000F08B4">
        <w:rPr>
          <w:sz w:val="24"/>
        </w:rPr>
        <w:t xml:space="preserve"> nabzı </w:t>
      </w:r>
      <w:r w:rsidR="000713D1">
        <w:rPr>
          <w:sz w:val="24"/>
        </w:rPr>
        <w:t>tutul</w:t>
      </w:r>
      <w:r w:rsidR="00A13AD5">
        <w:rPr>
          <w:sz w:val="24"/>
        </w:rPr>
        <w:t>makta</w:t>
      </w:r>
      <w:r w:rsidR="000713D1" w:rsidRPr="000F08B4">
        <w:rPr>
          <w:sz w:val="24"/>
        </w:rPr>
        <w:t xml:space="preserve"> ve </w:t>
      </w:r>
      <w:r>
        <w:rPr>
          <w:sz w:val="24"/>
        </w:rPr>
        <w:t>imalat sanayi</w:t>
      </w:r>
      <w:r w:rsidR="00A13AD5">
        <w:rPr>
          <w:sz w:val="24"/>
        </w:rPr>
        <w:t>n</w:t>
      </w:r>
      <w:r>
        <w:rPr>
          <w:sz w:val="24"/>
        </w:rPr>
        <w:t>deki</w:t>
      </w:r>
      <w:r w:rsidR="000713D1" w:rsidRPr="000F08B4">
        <w:rPr>
          <w:sz w:val="24"/>
        </w:rPr>
        <w:t xml:space="preserve"> gelişmeler</w:t>
      </w:r>
      <w:r w:rsidR="000713D1">
        <w:rPr>
          <w:sz w:val="24"/>
        </w:rPr>
        <w:t xml:space="preserve"> izlen</w:t>
      </w:r>
      <w:r w:rsidR="00A13AD5">
        <w:rPr>
          <w:sz w:val="24"/>
        </w:rPr>
        <w:t>mektedir</w:t>
      </w:r>
      <w:r w:rsidR="000713D1" w:rsidRPr="000F08B4">
        <w:rPr>
          <w:sz w:val="24"/>
        </w:rPr>
        <w:t>.</w:t>
      </w:r>
      <w:r w:rsidR="000713D1">
        <w:rPr>
          <w:sz w:val="24"/>
        </w:rPr>
        <w:t xml:space="preserve"> Konya </w:t>
      </w:r>
      <w:r>
        <w:rPr>
          <w:sz w:val="24"/>
        </w:rPr>
        <w:t>İmalat Sanayi</w:t>
      </w:r>
      <w:r w:rsidR="000713D1">
        <w:rPr>
          <w:sz w:val="24"/>
        </w:rPr>
        <w:t xml:space="preserve"> Güven Endeksi ile Konya’daki </w:t>
      </w:r>
      <w:r>
        <w:rPr>
          <w:sz w:val="24"/>
        </w:rPr>
        <w:t>imalat sanayinin</w:t>
      </w:r>
      <w:r w:rsidR="000713D1" w:rsidRPr="000F08B4">
        <w:rPr>
          <w:sz w:val="24"/>
        </w:rPr>
        <w:t xml:space="preserve"> Türkiye</w:t>
      </w:r>
      <w:r w:rsidR="000713D1">
        <w:rPr>
          <w:sz w:val="24"/>
        </w:rPr>
        <w:t xml:space="preserve"> geneli</w:t>
      </w:r>
      <w:r w:rsidR="000713D1" w:rsidRPr="000F08B4">
        <w:rPr>
          <w:sz w:val="24"/>
        </w:rPr>
        <w:t xml:space="preserve"> ve Avrupa Birliği üye ülkeleri ile karşılaş</w:t>
      </w:r>
      <w:r w:rsidR="000713D1">
        <w:rPr>
          <w:sz w:val="24"/>
        </w:rPr>
        <w:t>tırılması mümkün hale gelmiştir</w:t>
      </w:r>
      <w:r w:rsidR="000713D1" w:rsidRPr="000F08B4">
        <w:rPr>
          <w:sz w:val="24"/>
        </w:rPr>
        <w:t xml:space="preserve">. </w:t>
      </w:r>
    </w:p>
    <w:p w:rsidR="000713D1" w:rsidRPr="00347514" w:rsidRDefault="000713D1" w:rsidP="000713D1">
      <w:pPr>
        <w:pStyle w:val="Balk2"/>
        <w:spacing w:before="0" w:after="240" w:line="240" w:lineRule="auto"/>
        <w:jc w:val="both"/>
        <w:rPr>
          <w:rFonts w:asciiTheme="minorHAnsi" w:hAnsiTheme="minorHAnsi" w:cs="Arial"/>
          <w:color w:val="595959" w:themeColor="text1" w:themeTint="A6"/>
          <w:sz w:val="28"/>
        </w:rPr>
      </w:pPr>
      <w:r w:rsidRPr="00347514">
        <w:rPr>
          <w:rFonts w:asciiTheme="minorHAnsi" w:hAnsiTheme="minorHAnsi" w:cs="Arial"/>
          <w:color w:val="595959" w:themeColor="text1" w:themeTint="A6"/>
          <w:sz w:val="28"/>
        </w:rPr>
        <w:t xml:space="preserve">Konya’nın </w:t>
      </w:r>
      <w:r w:rsidR="000E1664" w:rsidRPr="00347514">
        <w:rPr>
          <w:rFonts w:asciiTheme="minorHAnsi" w:hAnsiTheme="minorHAnsi" w:cs="Arial"/>
          <w:color w:val="595959" w:themeColor="text1" w:themeTint="A6"/>
          <w:sz w:val="28"/>
        </w:rPr>
        <w:t xml:space="preserve">imalat sanayi </w:t>
      </w:r>
      <w:r w:rsidR="00014A88">
        <w:rPr>
          <w:rFonts w:asciiTheme="minorHAnsi" w:hAnsiTheme="minorHAnsi" w:cs="Arial"/>
          <w:color w:val="595959" w:themeColor="text1" w:themeTint="A6"/>
          <w:sz w:val="28"/>
        </w:rPr>
        <w:t>26</w:t>
      </w:r>
      <w:r w:rsidR="00C85F67">
        <w:rPr>
          <w:rFonts w:asciiTheme="minorHAnsi" w:hAnsiTheme="minorHAnsi" w:cs="Arial"/>
          <w:color w:val="595959" w:themeColor="text1" w:themeTint="A6"/>
          <w:sz w:val="28"/>
        </w:rPr>
        <w:t xml:space="preserve"> ay</w:t>
      </w:r>
      <w:r w:rsidR="009670D1">
        <w:rPr>
          <w:rFonts w:asciiTheme="minorHAnsi" w:hAnsiTheme="minorHAnsi" w:cs="Arial"/>
          <w:color w:val="595959" w:themeColor="text1" w:themeTint="A6"/>
          <w:sz w:val="28"/>
        </w:rPr>
        <w:t>dır</w:t>
      </w:r>
      <w:r w:rsidR="009A53E1">
        <w:rPr>
          <w:rFonts w:asciiTheme="minorHAnsi" w:hAnsiTheme="minorHAnsi" w:cs="Arial"/>
          <w:color w:val="595959" w:themeColor="text1" w:themeTint="A6"/>
          <w:sz w:val="28"/>
        </w:rPr>
        <w:t xml:space="preserve"> </w:t>
      </w:r>
      <w:r w:rsidR="000E1664" w:rsidRPr="00347514">
        <w:rPr>
          <w:rFonts w:asciiTheme="minorHAnsi" w:hAnsiTheme="minorHAnsi" w:cs="Arial"/>
          <w:color w:val="595959" w:themeColor="text1" w:themeTint="A6"/>
          <w:sz w:val="28"/>
        </w:rPr>
        <w:t>gözl</w:t>
      </w:r>
      <w:r w:rsidRPr="00347514">
        <w:rPr>
          <w:rFonts w:asciiTheme="minorHAnsi" w:hAnsiTheme="minorHAnsi" w:cs="Arial"/>
          <w:color w:val="595959" w:themeColor="text1" w:themeTint="A6"/>
          <w:sz w:val="28"/>
        </w:rPr>
        <w:t xml:space="preserve">em </w:t>
      </w:r>
      <w:r w:rsidR="002F4F03" w:rsidRPr="00347514">
        <w:rPr>
          <w:rFonts w:asciiTheme="minorHAnsi" w:hAnsiTheme="minorHAnsi" w:cs="Arial"/>
          <w:color w:val="595959" w:themeColor="text1" w:themeTint="A6"/>
          <w:sz w:val="28"/>
        </w:rPr>
        <w:t>a</w:t>
      </w:r>
      <w:r w:rsidRPr="00347514">
        <w:rPr>
          <w:rFonts w:asciiTheme="minorHAnsi" w:hAnsiTheme="minorHAnsi" w:cs="Arial"/>
          <w:color w:val="595959" w:themeColor="text1" w:themeTint="A6"/>
          <w:sz w:val="28"/>
        </w:rPr>
        <w:t>ltında:</w:t>
      </w:r>
    </w:p>
    <w:p w:rsidR="000E1664" w:rsidRPr="00715850" w:rsidRDefault="000E1664" w:rsidP="00715850">
      <w:pPr>
        <w:spacing w:after="240"/>
        <w:jc w:val="both"/>
        <w:rPr>
          <w:sz w:val="24"/>
        </w:rPr>
      </w:pPr>
      <w:r>
        <w:rPr>
          <w:sz w:val="24"/>
        </w:rPr>
        <w:t>KSO</w:t>
      </w:r>
      <w:r w:rsidR="000713D1" w:rsidRPr="000F08B4">
        <w:rPr>
          <w:sz w:val="24"/>
        </w:rPr>
        <w:t xml:space="preserve"> ve TEPAV</w:t>
      </w:r>
      <w:r w:rsidR="000713D1">
        <w:rPr>
          <w:sz w:val="24"/>
        </w:rPr>
        <w:t xml:space="preserve"> işbirliğinde gerçekleştirilen </w:t>
      </w:r>
      <w:r w:rsidR="00886B67" w:rsidRPr="000E1664">
        <w:rPr>
          <w:b/>
          <w:sz w:val="24"/>
        </w:rPr>
        <w:t>Konya İmalat Sanayi Güven Endeksi Anketi</w:t>
      </w:r>
      <w:r w:rsidR="00A13AD5">
        <w:rPr>
          <w:sz w:val="24"/>
        </w:rPr>
        <w:t>,</w:t>
      </w:r>
      <w:r w:rsidR="000713D1" w:rsidRPr="000F08B4">
        <w:rPr>
          <w:sz w:val="24"/>
        </w:rPr>
        <w:t xml:space="preserve"> Konya’nın merkez ilçeleri olan Karatay, Meram ve </w:t>
      </w:r>
      <w:proofErr w:type="spellStart"/>
      <w:r w:rsidR="000713D1" w:rsidRPr="000F08B4">
        <w:rPr>
          <w:sz w:val="24"/>
        </w:rPr>
        <w:t>Selçuklu’da</w:t>
      </w:r>
      <w:proofErr w:type="spellEnd"/>
      <w:r w:rsidR="005C508B">
        <w:rPr>
          <w:sz w:val="24"/>
        </w:rPr>
        <w:t xml:space="preserve"> </w:t>
      </w:r>
      <w:r>
        <w:rPr>
          <w:sz w:val="24"/>
        </w:rPr>
        <w:t>imalat sanayi</w:t>
      </w:r>
      <w:r w:rsidR="00A13AD5">
        <w:rPr>
          <w:sz w:val="24"/>
        </w:rPr>
        <w:t>n</w:t>
      </w:r>
      <w:r>
        <w:rPr>
          <w:sz w:val="24"/>
        </w:rPr>
        <w:t>de</w:t>
      </w:r>
      <w:r w:rsidR="005C508B">
        <w:rPr>
          <w:sz w:val="24"/>
        </w:rPr>
        <w:t xml:space="preserve"> faaliyet gösteren firmalara uygulanmaktadır.</w:t>
      </w:r>
      <w:r>
        <w:rPr>
          <w:sz w:val="24"/>
        </w:rPr>
        <w:t xml:space="preserve"> İmalat sanayinin tüm alt </w:t>
      </w:r>
      <w:r w:rsidR="000713D1" w:rsidRPr="000F08B4">
        <w:rPr>
          <w:sz w:val="24"/>
        </w:rPr>
        <w:t>sektörler</w:t>
      </w:r>
      <w:r>
        <w:rPr>
          <w:sz w:val="24"/>
        </w:rPr>
        <w:t>in</w:t>
      </w:r>
      <w:r w:rsidR="000713D1" w:rsidRPr="000F08B4">
        <w:rPr>
          <w:sz w:val="24"/>
        </w:rPr>
        <w:t>de f</w:t>
      </w:r>
      <w:r w:rsidR="005C508B">
        <w:rPr>
          <w:sz w:val="24"/>
        </w:rPr>
        <w:t>aaliyet gösteren 300 firma</w:t>
      </w:r>
      <w:r w:rsidR="000713D1" w:rsidRPr="000F08B4">
        <w:rPr>
          <w:sz w:val="24"/>
        </w:rPr>
        <w:t xml:space="preserve"> ile her a</w:t>
      </w:r>
      <w:r w:rsidR="000713D1">
        <w:rPr>
          <w:sz w:val="24"/>
        </w:rPr>
        <w:t>y yüz yüze anketler yapılmaktadır</w:t>
      </w:r>
      <w:r w:rsidR="000713D1" w:rsidRPr="000F08B4">
        <w:rPr>
          <w:sz w:val="24"/>
        </w:rPr>
        <w:t>.</w:t>
      </w:r>
      <w:r w:rsidR="000713D1">
        <w:rPr>
          <w:sz w:val="24"/>
        </w:rPr>
        <w:t xml:space="preserve"> </w:t>
      </w:r>
      <w:r>
        <w:rPr>
          <w:sz w:val="24"/>
        </w:rPr>
        <w:t xml:space="preserve">İmalat Sanayi </w:t>
      </w:r>
      <w:r w:rsidR="005C508B">
        <w:rPr>
          <w:sz w:val="24"/>
        </w:rPr>
        <w:t>Gü</w:t>
      </w:r>
      <w:r>
        <w:rPr>
          <w:sz w:val="24"/>
        </w:rPr>
        <w:t xml:space="preserve">ven Endeksi sonuçları her ayın </w:t>
      </w:r>
      <w:r w:rsidR="00A13AD5">
        <w:rPr>
          <w:sz w:val="24"/>
        </w:rPr>
        <w:t>ikinci</w:t>
      </w:r>
      <w:r w:rsidR="000713D1" w:rsidRPr="000F08B4">
        <w:rPr>
          <w:sz w:val="24"/>
        </w:rPr>
        <w:t xml:space="preserve"> iş günü </w:t>
      </w:r>
      <w:r w:rsidR="00886B67">
        <w:rPr>
          <w:sz w:val="24"/>
        </w:rPr>
        <w:t>KSO</w:t>
      </w:r>
      <w:r w:rsidR="000713D1" w:rsidRPr="000F08B4">
        <w:rPr>
          <w:sz w:val="24"/>
        </w:rPr>
        <w:t xml:space="preserve"> internet</w:t>
      </w:r>
      <w:r w:rsidR="00B7317A">
        <w:rPr>
          <w:sz w:val="24"/>
        </w:rPr>
        <w:t xml:space="preserve"> sayfasında kamuoyuna açıklanmak</w:t>
      </w:r>
      <w:r w:rsidR="000713D1" w:rsidRPr="000F08B4">
        <w:rPr>
          <w:sz w:val="24"/>
        </w:rPr>
        <w:t>tır.</w:t>
      </w:r>
    </w:p>
    <w:p w:rsidR="000713D1" w:rsidRPr="00347514" w:rsidRDefault="000E1664" w:rsidP="000713D1">
      <w:pPr>
        <w:pStyle w:val="Balk2"/>
        <w:spacing w:before="0" w:after="240" w:line="240" w:lineRule="auto"/>
        <w:jc w:val="both"/>
        <w:rPr>
          <w:rFonts w:asciiTheme="minorHAnsi" w:hAnsiTheme="minorHAnsi" w:cs="Arial"/>
          <w:color w:val="595959" w:themeColor="text1" w:themeTint="A6"/>
          <w:sz w:val="28"/>
        </w:rPr>
      </w:pPr>
      <w:r w:rsidRPr="00347514">
        <w:rPr>
          <w:rFonts w:asciiTheme="minorHAnsi" w:hAnsiTheme="minorHAnsi" w:cs="Arial"/>
          <w:color w:val="595959" w:themeColor="text1" w:themeTint="A6"/>
          <w:sz w:val="28"/>
        </w:rPr>
        <w:t>İmalat sanayi</w:t>
      </w:r>
      <w:r w:rsidR="000713D1" w:rsidRPr="00347514">
        <w:rPr>
          <w:rFonts w:asciiTheme="minorHAnsi" w:hAnsiTheme="minorHAnsi" w:cs="Arial"/>
          <w:color w:val="595959" w:themeColor="text1" w:themeTint="A6"/>
          <w:sz w:val="28"/>
        </w:rPr>
        <w:t xml:space="preserve"> </w:t>
      </w:r>
      <w:r w:rsidR="002F4F03" w:rsidRPr="00347514">
        <w:rPr>
          <w:rFonts w:asciiTheme="minorHAnsi" w:hAnsiTheme="minorHAnsi" w:cs="Arial"/>
          <w:color w:val="595959" w:themeColor="text1" w:themeTint="A6"/>
          <w:sz w:val="28"/>
        </w:rPr>
        <w:t>g</w:t>
      </w:r>
      <w:r w:rsidR="000713D1" w:rsidRPr="00347514">
        <w:rPr>
          <w:rFonts w:asciiTheme="minorHAnsi" w:hAnsiTheme="minorHAnsi" w:cs="Arial"/>
          <w:color w:val="595959" w:themeColor="text1" w:themeTint="A6"/>
          <w:sz w:val="28"/>
        </w:rPr>
        <w:t xml:space="preserve">üven </w:t>
      </w:r>
      <w:r w:rsidR="002F4F03" w:rsidRPr="00347514">
        <w:rPr>
          <w:rFonts w:asciiTheme="minorHAnsi" w:hAnsiTheme="minorHAnsi" w:cs="Arial"/>
          <w:color w:val="595959" w:themeColor="text1" w:themeTint="A6"/>
          <w:sz w:val="28"/>
        </w:rPr>
        <w:t>e</w:t>
      </w:r>
      <w:r w:rsidR="000713D1" w:rsidRPr="00347514">
        <w:rPr>
          <w:rFonts w:asciiTheme="minorHAnsi" w:hAnsiTheme="minorHAnsi" w:cs="Arial"/>
          <w:color w:val="595959" w:themeColor="text1" w:themeTint="A6"/>
          <w:sz w:val="28"/>
        </w:rPr>
        <w:t xml:space="preserve">ndeksi </w:t>
      </w:r>
      <w:r w:rsidR="002F4F03" w:rsidRPr="00347514">
        <w:rPr>
          <w:rFonts w:asciiTheme="minorHAnsi" w:hAnsiTheme="minorHAnsi" w:cs="Arial"/>
          <w:color w:val="595959" w:themeColor="text1" w:themeTint="A6"/>
          <w:sz w:val="28"/>
        </w:rPr>
        <w:t>n</w:t>
      </w:r>
      <w:r w:rsidR="000713D1" w:rsidRPr="00347514">
        <w:rPr>
          <w:rFonts w:asciiTheme="minorHAnsi" w:hAnsiTheme="minorHAnsi" w:cs="Arial"/>
          <w:color w:val="595959" w:themeColor="text1" w:themeTint="A6"/>
          <w:sz w:val="28"/>
        </w:rPr>
        <w:t xml:space="preserve">asıl </w:t>
      </w:r>
      <w:r w:rsidR="002F4F03" w:rsidRPr="00347514">
        <w:rPr>
          <w:rFonts w:asciiTheme="minorHAnsi" w:hAnsiTheme="minorHAnsi" w:cs="Arial"/>
          <w:color w:val="595959" w:themeColor="text1" w:themeTint="A6"/>
          <w:sz w:val="28"/>
        </w:rPr>
        <w:t>h</w:t>
      </w:r>
      <w:r w:rsidR="000713D1" w:rsidRPr="00347514">
        <w:rPr>
          <w:rFonts w:asciiTheme="minorHAnsi" w:hAnsiTheme="minorHAnsi" w:cs="Arial"/>
          <w:color w:val="595959" w:themeColor="text1" w:themeTint="A6"/>
          <w:sz w:val="28"/>
        </w:rPr>
        <w:t>esaplanıyor:</w:t>
      </w:r>
    </w:p>
    <w:p w:rsidR="00964226" w:rsidRDefault="000E1664" w:rsidP="000713D1">
      <w:pPr>
        <w:spacing w:after="240"/>
        <w:jc w:val="both"/>
        <w:rPr>
          <w:sz w:val="24"/>
        </w:rPr>
      </w:pPr>
      <w:r>
        <w:rPr>
          <w:sz w:val="24"/>
        </w:rPr>
        <w:t>İmalat Sanayi</w:t>
      </w:r>
      <w:r w:rsidR="000713D1" w:rsidRPr="00CF0AEC">
        <w:rPr>
          <w:sz w:val="24"/>
        </w:rPr>
        <w:t xml:space="preserve"> Güven Endeksi</w:t>
      </w:r>
      <w:r w:rsidR="00B7317A">
        <w:rPr>
          <w:sz w:val="24"/>
        </w:rPr>
        <w:t>,</w:t>
      </w:r>
      <w:r w:rsidR="000713D1" w:rsidRPr="00CF0AEC">
        <w:rPr>
          <w:sz w:val="24"/>
        </w:rPr>
        <w:t xml:space="preserve"> ankette yer alan “</w:t>
      </w:r>
      <w:r w:rsidRPr="000E1664">
        <w:rPr>
          <w:sz w:val="24"/>
        </w:rPr>
        <w:t>Şu andaki toplam siparişleri</w:t>
      </w:r>
      <w:r>
        <w:rPr>
          <w:sz w:val="24"/>
        </w:rPr>
        <w:t xml:space="preserve">niz için ne söyleyebilirsiniz?”, </w:t>
      </w:r>
      <w:r w:rsidR="000713D1" w:rsidRPr="00CF0AEC">
        <w:rPr>
          <w:sz w:val="24"/>
        </w:rPr>
        <w:t>“</w:t>
      </w:r>
      <w:r w:rsidRPr="000E1664">
        <w:rPr>
          <w:sz w:val="24"/>
        </w:rPr>
        <w:t>Şu andaki mevcut stok düzeyiniz için ne söyleyebilirsiniz?</w:t>
      </w:r>
      <w:r w:rsidR="000713D1" w:rsidRPr="00CF0AEC">
        <w:rPr>
          <w:sz w:val="24"/>
        </w:rPr>
        <w:t>”</w:t>
      </w:r>
      <w:r w:rsidR="00CA5696">
        <w:rPr>
          <w:sz w:val="24"/>
        </w:rPr>
        <w:t xml:space="preserve"> </w:t>
      </w:r>
      <w:r w:rsidR="000713D1" w:rsidRPr="00CF0AEC">
        <w:rPr>
          <w:sz w:val="24"/>
        </w:rPr>
        <w:t xml:space="preserve">ve </w:t>
      </w:r>
      <w:r w:rsidR="000713D1">
        <w:rPr>
          <w:sz w:val="24"/>
        </w:rPr>
        <w:t>“</w:t>
      </w:r>
      <w:r w:rsidRPr="000E1664">
        <w:rPr>
          <w:sz w:val="24"/>
        </w:rPr>
        <w:t>Önümüzdeki 3 ayda üretiminizin ne yönde değişeceğini düşünüyorsunuz?</w:t>
      </w:r>
      <w:r>
        <w:rPr>
          <w:sz w:val="24"/>
        </w:rPr>
        <w:t xml:space="preserve">” </w:t>
      </w:r>
      <w:r w:rsidR="000713D1" w:rsidRPr="00CF0AEC">
        <w:rPr>
          <w:sz w:val="24"/>
        </w:rPr>
        <w:t>sorular</w:t>
      </w:r>
      <w:r w:rsidR="000713D1">
        <w:rPr>
          <w:sz w:val="24"/>
        </w:rPr>
        <w:t>ın</w:t>
      </w:r>
      <w:r w:rsidR="00CA5696">
        <w:rPr>
          <w:sz w:val="24"/>
        </w:rPr>
        <w:t xml:space="preserve">a </w:t>
      </w:r>
      <w:r w:rsidR="000713D1" w:rsidRPr="00CF0AEC">
        <w:rPr>
          <w:sz w:val="24"/>
        </w:rPr>
        <w:t xml:space="preserve">verilen yanıtların balanslarının ortalaması alınarak hesaplanmaktadır. </w:t>
      </w:r>
    </w:p>
    <w:p w:rsidR="000713D1" w:rsidRPr="00964226" w:rsidRDefault="000713D1" w:rsidP="000713D1">
      <w:pPr>
        <w:spacing w:after="240"/>
        <w:jc w:val="both"/>
        <w:rPr>
          <w:b/>
          <w:i/>
          <w:sz w:val="24"/>
        </w:rPr>
      </w:pPr>
      <w:r w:rsidRPr="00964226">
        <w:rPr>
          <w:b/>
          <w:i/>
          <w:sz w:val="24"/>
        </w:rPr>
        <w:t>Balans değeri</w:t>
      </w:r>
      <w:r w:rsidR="00A13AD5">
        <w:rPr>
          <w:b/>
          <w:i/>
          <w:sz w:val="24"/>
        </w:rPr>
        <w:t>ne</w:t>
      </w:r>
      <w:r w:rsidRPr="00964226">
        <w:rPr>
          <w:b/>
          <w:i/>
          <w:sz w:val="24"/>
        </w:rPr>
        <w:t xml:space="preserve">, sorulara olumlu cevap verenler ile olumsuz cevap verenlerin farkı alınarak </w:t>
      </w:r>
      <w:r w:rsidR="00A13AD5">
        <w:rPr>
          <w:b/>
          <w:i/>
          <w:sz w:val="24"/>
        </w:rPr>
        <w:t>ulaşıl</w:t>
      </w:r>
      <w:r w:rsidR="00A13AD5" w:rsidRPr="00964226">
        <w:rPr>
          <w:b/>
          <w:i/>
          <w:sz w:val="24"/>
        </w:rPr>
        <w:t>maktadır</w:t>
      </w:r>
      <w:r w:rsidRPr="00964226">
        <w:rPr>
          <w:b/>
          <w:i/>
          <w:sz w:val="24"/>
        </w:rPr>
        <w:t>.</w:t>
      </w:r>
    </w:p>
    <w:p w:rsidR="000713D1" w:rsidRDefault="000713D1" w:rsidP="00682508">
      <w:pPr>
        <w:pStyle w:val="Balk2"/>
        <w:spacing w:before="0" w:after="240" w:line="240" w:lineRule="auto"/>
        <w:jc w:val="both"/>
        <w:rPr>
          <w:rFonts w:asciiTheme="minorHAnsi" w:hAnsiTheme="minorHAnsi" w:cs="Arial"/>
          <w:color w:val="0070C0"/>
          <w:sz w:val="28"/>
        </w:rPr>
      </w:pPr>
    </w:p>
    <w:p w:rsidR="000713D1" w:rsidRDefault="000713D1" w:rsidP="000713D1"/>
    <w:p w:rsidR="000713D1" w:rsidRDefault="000713D1" w:rsidP="000713D1"/>
    <w:p w:rsidR="00886B67" w:rsidRDefault="00886B67" w:rsidP="000713D1"/>
    <w:p w:rsidR="00886B67" w:rsidRDefault="00886B67" w:rsidP="000713D1"/>
    <w:p w:rsidR="000713D1" w:rsidRDefault="000713D1" w:rsidP="000713D1"/>
    <w:p w:rsidR="00682508" w:rsidRPr="00347514" w:rsidRDefault="00514AB2" w:rsidP="00682508">
      <w:pPr>
        <w:pStyle w:val="Balk2"/>
        <w:spacing w:before="0" w:after="240" w:line="240" w:lineRule="auto"/>
        <w:jc w:val="both"/>
        <w:rPr>
          <w:rFonts w:asciiTheme="minorHAnsi" w:hAnsiTheme="minorHAnsi" w:cs="Arial"/>
          <w:color w:val="595959" w:themeColor="text1" w:themeTint="A6"/>
          <w:sz w:val="28"/>
        </w:rPr>
      </w:pPr>
      <w:r w:rsidRPr="00347514">
        <w:rPr>
          <w:rFonts w:asciiTheme="minorHAnsi" w:hAnsiTheme="minorHAnsi" w:cs="Arial"/>
          <w:color w:val="595959" w:themeColor="text1" w:themeTint="A6"/>
          <w:sz w:val="28"/>
        </w:rPr>
        <w:lastRenderedPageBreak/>
        <w:t xml:space="preserve">Konya </w:t>
      </w:r>
      <w:r w:rsidR="00347514">
        <w:rPr>
          <w:rFonts w:asciiTheme="minorHAnsi" w:hAnsiTheme="minorHAnsi" w:cs="Arial"/>
          <w:color w:val="595959" w:themeColor="text1" w:themeTint="A6"/>
          <w:sz w:val="28"/>
        </w:rPr>
        <w:t>İmalat Sanayi</w:t>
      </w:r>
      <w:r w:rsidR="007C0237">
        <w:rPr>
          <w:rFonts w:asciiTheme="minorHAnsi" w:hAnsiTheme="minorHAnsi" w:cs="Arial"/>
          <w:color w:val="595959" w:themeColor="text1" w:themeTint="A6"/>
          <w:sz w:val="28"/>
        </w:rPr>
        <w:t xml:space="preserve"> Güven Endeksi</w:t>
      </w:r>
      <w:r w:rsidR="008F22AA">
        <w:rPr>
          <w:rFonts w:asciiTheme="minorHAnsi" w:hAnsiTheme="minorHAnsi" w:cs="Arial"/>
          <w:color w:val="595959" w:themeColor="text1" w:themeTint="A6"/>
          <w:sz w:val="28"/>
        </w:rPr>
        <w:t xml:space="preserve"> geçen </w:t>
      </w:r>
      <w:r w:rsidR="000B09EF">
        <w:rPr>
          <w:rFonts w:asciiTheme="minorHAnsi" w:hAnsiTheme="minorHAnsi" w:cs="Arial"/>
          <w:color w:val="595959" w:themeColor="text1" w:themeTint="A6"/>
          <w:sz w:val="28"/>
        </w:rPr>
        <w:t>aya</w:t>
      </w:r>
      <w:r w:rsidR="00164168">
        <w:rPr>
          <w:rFonts w:asciiTheme="minorHAnsi" w:hAnsiTheme="minorHAnsi" w:cs="Arial"/>
          <w:color w:val="595959" w:themeColor="text1" w:themeTint="A6"/>
          <w:sz w:val="28"/>
        </w:rPr>
        <w:t xml:space="preserve"> </w:t>
      </w:r>
      <w:r w:rsidR="00527B56">
        <w:rPr>
          <w:rFonts w:asciiTheme="minorHAnsi" w:hAnsiTheme="minorHAnsi" w:cs="Arial"/>
          <w:color w:val="595959" w:themeColor="text1" w:themeTint="A6"/>
          <w:sz w:val="28"/>
        </w:rPr>
        <w:t xml:space="preserve">ve geçen yıla </w:t>
      </w:r>
      <w:r w:rsidR="00A756E7">
        <w:rPr>
          <w:rFonts w:asciiTheme="minorHAnsi" w:hAnsiTheme="minorHAnsi" w:cs="Arial"/>
          <w:color w:val="595959" w:themeColor="text1" w:themeTint="A6"/>
          <w:sz w:val="28"/>
        </w:rPr>
        <w:t xml:space="preserve">göre </w:t>
      </w:r>
      <w:r w:rsidR="00C9407F">
        <w:rPr>
          <w:rFonts w:asciiTheme="minorHAnsi" w:hAnsiTheme="minorHAnsi" w:cs="Arial"/>
          <w:color w:val="595959" w:themeColor="text1" w:themeTint="A6"/>
          <w:sz w:val="28"/>
        </w:rPr>
        <w:t>düştü</w:t>
      </w:r>
      <w:r w:rsidR="008F22AA">
        <w:rPr>
          <w:rFonts w:asciiTheme="minorHAnsi" w:hAnsiTheme="minorHAnsi" w:cs="Arial"/>
          <w:color w:val="595959" w:themeColor="text1" w:themeTint="A6"/>
          <w:sz w:val="28"/>
        </w:rPr>
        <w:t>:</w:t>
      </w:r>
    </w:p>
    <w:p w:rsidR="006A0AD4" w:rsidRDefault="00C9407F" w:rsidP="003615F7">
      <w:pPr>
        <w:spacing w:after="240"/>
        <w:jc w:val="both"/>
        <w:rPr>
          <w:sz w:val="24"/>
        </w:rPr>
      </w:pPr>
      <w:r>
        <w:rPr>
          <w:sz w:val="24"/>
        </w:rPr>
        <w:t>Mart 2016’da 13,7</w:t>
      </w:r>
      <w:r w:rsidR="004400C5">
        <w:rPr>
          <w:sz w:val="24"/>
        </w:rPr>
        <w:t xml:space="preserve"> puan değerini alan Konya İm</w:t>
      </w:r>
      <w:r>
        <w:rPr>
          <w:sz w:val="24"/>
        </w:rPr>
        <w:t>alat Sanayi Güven Endeksi, Nisan 2016’da bir önceki aya göre 2</w:t>
      </w:r>
      <w:r w:rsidR="004400C5">
        <w:rPr>
          <w:sz w:val="24"/>
        </w:rPr>
        <w:t xml:space="preserve"> puan</w:t>
      </w:r>
      <w:r w:rsidR="00C85F67">
        <w:rPr>
          <w:sz w:val="24"/>
        </w:rPr>
        <w:t>,</w:t>
      </w:r>
      <w:r>
        <w:rPr>
          <w:sz w:val="24"/>
        </w:rPr>
        <w:t xml:space="preserve"> geçen yılın aynı ayına göre 2,6 puan düşerek 11</w:t>
      </w:r>
      <w:r w:rsidR="00C85F67">
        <w:rPr>
          <w:sz w:val="24"/>
        </w:rPr>
        <w:t>,7</w:t>
      </w:r>
      <w:r w:rsidR="004400C5">
        <w:rPr>
          <w:sz w:val="24"/>
        </w:rPr>
        <w:t xml:space="preserve"> puan değerini almıştır</w:t>
      </w:r>
      <w:r w:rsidR="007D3F5A" w:rsidRPr="00950DFB">
        <w:rPr>
          <w:sz w:val="24"/>
        </w:rPr>
        <w:t>.</w:t>
      </w:r>
      <w:r w:rsidR="00EA6DAF" w:rsidRPr="00950DFB">
        <w:rPr>
          <w:sz w:val="24"/>
        </w:rPr>
        <w:t xml:space="preserve"> </w:t>
      </w:r>
      <w:r w:rsidR="002F4F03">
        <w:rPr>
          <w:sz w:val="24"/>
        </w:rPr>
        <w:t xml:space="preserve">Türkiye genelini temsil eden </w:t>
      </w:r>
      <w:r w:rsidR="00463643">
        <w:rPr>
          <w:sz w:val="24"/>
        </w:rPr>
        <w:t>imalat sanayi</w:t>
      </w:r>
      <w:r w:rsidR="002F4F03">
        <w:rPr>
          <w:sz w:val="24"/>
        </w:rPr>
        <w:t xml:space="preserve"> güven endeksi</w:t>
      </w:r>
      <w:r w:rsidR="00B7317A">
        <w:rPr>
          <w:sz w:val="24"/>
        </w:rPr>
        <w:t>,</w:t>
      </w:r>
      <w:r w:rsidR="000E73F5">
        <w:rPr>
          <w:sz w:val="24"/>
        </w:rPr>
        <w:t xml:space="preserve"> </w:t>
      </w:r>
      <w:r>
        <w:rPr>
          <w:sz w:val="24"/>
        </w:rPr>
        <w:t>Nisan</w:t>
      </w:r>
      <w:r w:rsidR="005B29D9">
        <w:rPr>
          <w:sz w:val="24"/>
        </w:rPr>
        <w:t xml:space="preserve"> 2016’da</w:t>
      </w:r>
      <w:r w:rsidR="00E322FA">
        <w:rPr>
          <w:sz w:val="24"/>
        </w:rPr>
        <w:t xml:space="preserve"> </w:t>
      </w:r>
      <w:r w:rsidR="00791B59">
        <w:rPr>
          <w:sz w:val="24"/>
        </w:rPr>
        <w:t xml:space="preserve">bir önceki aya göre </w:t>
      </w:r>
      <w:r w:rsidR="00C85F67">
        <w:rPr>
          <w:sz w:val="24"/>
        </w:rPr>
        <w:t>0,9</w:t>
      </w:r>
      <w:r w:rsidR="000805F7">
        <w:rPr>
          <w:sz w:val="24"/>
        </w:rPr>
        <w:t xml:space="preserve"> puan </w:t>
      </w:r>
      <w:r w:rsidR="00021958">
        <w:rPr>
          <w:sz w:val="24"/>
        </w:rPr>
        <w:t>yüksel</w:t>
      </w:r>
      <w:r w:rsidR="00E51A9C">
        <w:rPr>
          <w:sz w:val="24"/>
        </w:rPr>
        <w:t>erek</w:t>
      </w:r>
      <w:r w:rsidR="00381A6A">
        <w:rPr>
          <w:sz w:val="24"/>
        </w:rPr>
        <w:t xml:space="preserve"> </w:t>
      </w:r>
      <w:r>
        <w:rPr>
          <w:sz w:val="24"/>
        </w:rPr>
        <w:t>5,5</w:t>
      </w:r>
      <w:r w:rsidR="001F7DF8">
        <w:rPr>
          <w:sz w:val="24"/>
        </w:rPr>
        <w:t xml:space="preserve"> puan</w:t>
      </w:r>
      <w:r w:rsidR="009B4A64">
        <w:rPr>
          <w:sz w:val="24"/>
        </w:rPr>
        <w:t xml:space="preserve"> değerini almıştır</w:t>
      </w:r>
      <w:r w:rsidR="002F4F03">
        <w:rPr>
          <w:sz w:val="24"/>
        </w:rPr>
        <w:t>.</w:t>
      </w:r>
      <w:r w:rsidR="003C6AFC">
        <w:rPr>
          <w:sz w:val="24"/>
        </w:rPr>
        <w:t xml:space="preserve"> </w:t>
      </w:r>
      <w:r w:rsidR="003C6AFC" w:rsidRPr="00553783">
        <w:rPr>
          <w:sz w:val="24"/>
        </w:rPr>
        <w:t>Avrupa Birliği’ni temsil ede</w:t>
      </w:r>
      <w:r w:rsidR="00F2581E">
        <w:rPr>
          <w:sz w:val="24"/>
        </w:rPr>
        <w:t>n imalat sanayi güven endeksi ise</w:t>
      </w:r>
      <w:r w:rsidR="003C6AFC" w:rsidRPr="00553783">
        <w:rPr>
          <w:sz w:val="24"/>
        </w:rPr>
        <w:t xml:space="preserve"> </w:t>
      </w:r>
      <w:r>
        <w:rPr>
          <w:sz w:val="24"/>
        </w:rPr>
        <w:t>Nisan</w:t>
      </w:r>
      <w:r w:rsidR="005B29D9">
        <w:rPr>
          <w:sz w:val="24"/>
        </w:rPr>
        <w:t xml:space="preserve"> 2016’da</w:t>
      </w:r>
      <w:r w:rsidR="003C6AFC" w:rsidRPr="00553783">
        <w:rPr>
          <w:sz w:val="24"/>
        </w:rPr>
        <w:t xml:space="preserve"> bir önceki aya göre </w:t>
      </w:r>
      <w:r>
        <w:rPr>
          <w:sz w:val="24"/>
        </w:rPr>
        <w:t>0,3 puan düş</w:t>
      </w:r>
      <w:r w:rsidR="00553783" w:rsidRPr="00553783">
        <w:rPr>
          <w:sz w:val="24"/>
        </w:rPr>
        <w:t>erek</w:t>
      </w:r>
      <w:r w:rsidR="003C6AFC" w:rsidRPr="00553783">
        <w:rPr>
          <w:sz w:val="24"/>
        </w:rPr>
        <w:t xml:space="preserve"> </w:t>
      </w:r>
      <w:r>
        <w:rPr>
          <w:sz w:val="24"/>
        </w:rPr>
        <w:t>-0,9</w:t>
      </w:r>
      <w:r w:rsidR="003C6AFC" w:rsidRPr="00553783">
        <w:rPr>
          <w:sz w:val="24"/>
        </w:rPr>
        <w:t xml:space="preserve"> puan değerini almıştır.</w:t>
      </w:r>
    </w:p>
    <w:p w:rsidR="00EA6DAF" w:rsidRDefault="00463643" w:rsidP="003615F7">
      <w:pPr>
        <w:spacing w:after="240"/>
        <w:jc w:val="both"/>
        <w:rPr>
          <w:sz w:val="24"/>
        </w:rPr>
      </w:pPr>
      <w:r w:rsidRPr="00553783">
        <w:rPr>
          <w:sz w:val="24"/>
        </w:rPr>
        <w:t>İmalat Sanayi</w:t>
      </w:r>
      <w:r w:rsidR="00A601D4" w:rsidRPr="00553783">
        <w:rPr>
          <w:sz w:val="24"/>
        </w:rPr>
        <w:t xml:space="preserve"> Güven Endek</w:t>
      </w:r>
      <w:r w:rsidR="00126F98" w:rsidRPr="00553783">
        <w:rPr>
          <w:sz w:val="24"/>
        </w:rPr>
        <w:t>si, geçen aya</w:t>
      </w:r>
      <w:r w:rsidR="00ED0BAB">
        <w:rPr>
          <w:sz w:val="24"/>
        </w:rPr>
        <w:t xml:space="preserve"> göre </w:t>
      </w:r>
      <w:r w:rsidR="00C9407F">
        <w:rPr>
          <w:sz w:val="24"/>
        </w:rPr>
        <w:t>Konya</w:t>
      </w:r>
      <w:r w:rsidR="005B29D9">
        <w:rPr>
          <w:sz w:val="24"/>
        </w:rPr>
        <w:t xml:space="preserve"> ve AB-28’de</w:t>
      </w:r>
      <w:r w:rsidR="000B09EF">
        <w:rPr>
          <w:sz w:val="24"/>
        </w:rPr>
        <w:t xml:space="preserve"> </w:t>
      </w:r>
      <w:r w:rsidR="00C9407F">
        <w:rPr>
          <w:sz w:val="24"/>
        </w:rPr>
        <w:t xml:space="preserve">düşerken, Türkiye genelinde </w:t>
      </w:r>
      <w:r w:rsidR="00021958">
        <w:rPr>
          <w:sz w:val="24"/>
        </w:rPr>
        <w:t>yükselmiştir</w:t>
      </w:r>
      <w:r w:rsidR="002F4F03" w:rsidRPr="00553783">
        <w:rPr>
          <w:sz w:val="24"/>
        </w:rPr>
        <w:t xml:space="preserve">. </w:t>
      </w:r>
      <w:r w:rsidR="00386FD2" w:rsidRPr="00553783">
        <w:rPr>
          <w:sz w:val="24"/>
        </w:rPr>
        <w:t xml:space="preserve">Konya </w:t>
      </w:r>
      <w:r w:rsidRPr="00553783">
        <w:rPr>
          <w:sz w:val="24"/>
        </w:rPr>
        <w:t>imalat sanayi</w:t>
      </w:r>
      <w:r w:rsidR="001F7DF8" w:rsidRPr="00553783">
        <w:rPr>
          <w:sz w:val="24"/>
        </w:rPr>
        <w:t>,</w:t>
      </w:r>
      <w:r w:rsidR="00386FD2" w:rsidRPr="00553783">
        <w:rPr>
          <w:sz w:val="24"/>
        </w:rPr>
        <w:t xml:space="preserve"> </w:t>
      </w:r>
      <w:r w:rsidR="00C9407F">
        <w:rPr>
          <w:sz w:val="24"/>
        </w:rPr>
        <w:t>Nisan</w:t>
      </w:r>
      <w:r w:rsidR="00D33566" w:rsidRPr="00553783">
        <w:rPr>
          <w:sz w:val="24"/>
        </w:rPr>
        <w:t xml:space="preserve"> </w:t>
      </w:r>
      <w:r w:rsidR="005B29D9">
        <w:rPr>
          <w:sz w:val="24"/>
        </w:rPr>
        <w:t>2016’da</w:t>
      </w:r>
      <w:r w:rsidR="00514AB2" w:rsidRPr="00553783">
        <w:rPr>
          <w:sz w:val="24"/>
        </w:rPr>
        <w:t xml:space="preserve"> </w:t>
      </w:r>
      <w:r w:rsidR="00164168">
        <w:rPr>
          <w:sz w:val="24"/>
        </w:rPr>
        <w:t>Türkiye genelinden</w:t>
      </w:r>
      <w:r w:rsidR="000B09EF">
        <w:rPr>
          <w:sz w:val="24"/>
        </w:rPr>
        <w:t xml:space="preserve"> ve AB-28’den daha </w:t>
      </w:r>
      <w:r w:rsidR="000E59DE">
        <w:rPr>
          <w:sz w:val="24"/>
        </w:rPr>
        <w:t xml:space="preserve">iyi </w:t>
      </w:r>
      <w:r w:rsidR="009B4A64" w:rsidRPr="00553783">
        <w:rPr>
          <w:sz w:val="24"/>
        </w:rPr>
        <w:t>performans göstermiştir</w:t>
      </w:r>
      <w:r w:rsidR="00A601D4" w:rsidRPr="00553783">
        <w:rPr>
          <w:sz w:val="24"/>
        </w:rPr>
        <w:t>.</w:t>
      </w:r>
      <w:r w:rsidR="00A456F4">
        <w:rPr>
          <w:sz w:val="24"/>
        </w:rPr>
        <w:t xml:space="preserve"> </w:t>
      </w:r>
    </w:p>
    <w:p w:rsidR="00D21106" w:rsidRDefault="00D21106" w:rsidP="003615F7">
      <w:pPr>
        <w:spacing w:after="240"/>
        <w:jc w:val="both"/>
        <w:rPr>
          <w:sz w:val="24"/>
        </w:rPr>
      </w:pPr>
      <w:r>
        <w:rPr>
          <w:sz w:val="24"/>
        </w:rPr>
        <w:t xml:space="preserve">Konya İmalat Sanayi Güven Endeksinin </w:t>
      </w:r>
      <w:r w:rsidR="00504E1E">
        <w:rPr>
          <w:sz w:val="24"/>
        </w:rPr>
        <w:t>geçen aya</w:t>
      </w:r>
      <w:r w:rsidR="00021958">
        <w:rPr>
          <w:sz w:val="24"/>
        </w:rPr>
        <w:t xml:space="preserve"> </w:t>
      </w:r>
      <w:r w:rsidR="00504E1E">
        <w:rPr>
          <w:sz w:val="24"/>
        </w:rPr>
        <w:t xml:space="preserve">göre </w:t>
      </w:r>
      <w:r w:rsidR="00CC0B50">
        <w:rPr>
          <w:sz w:val="24"/>
        </w:rPr>
        <w:t xml:space="preserve">düşmesinde </w:t>
      </w:r>
      <w:r w:rsidR="000E59DE">
        <w:rPr>
          <w:sz w:val="24"/>
        </w:rPr>
        <w:t xml:space="preserve">gelecek 3 aydaki üretim </w:t>
      </w:r>
      <w:r w:rsidR="00CC0B50">
        <w:rPr>
          <w:sz w:val="24"/>
        </w:rPr>
        <w:t>beklentisindeki düşüş</w:t>
      </w:r>
      <w:r w:rsidR="00ED0BAB">
        <w:rPr>
          <w:sz w:val="24"/>
        </w:rPr>
        <w:t xml:space="preserve"> </w:t>
      </w:r>
      <w:r w:rsidR="00886B67">
        <w:rPr>
          <w:sz w:val="24"/>
        </w:rPr>
        <w:t>etkili</w:t>
      </w:r>
      <w:r w:rsidR="00652577">
        <w:rPr>
          <w:sz w:val="24"/>
        </w:rPr>
        <w:t xml:space="preserve"> olmuştur.</w:t>
      </w:r>
      <w:r w:rsidR="00164168">
        <w:rPr>
          <w:sz w:val="24"/>
        </w:rPr>
        <w:t xml:space="preserve"> </w:t>
      </w:r>
    </w:p>
    <w:p w:rsidR="00287BAC" w:rsidRDefault="00DE146F" w:rsidP="00DE146F">
      <w:pPr>
        <w:tabs>
          <w:tab w:val="left" w:pos="8258"/>
        </w:tabs>
        <w:spacing w:after="0"/>
        <w:jc w:val="both"/>
      </w:pPr>
      <w:r w:rsidRPr="003127E7">
        <w:rPr>
          <w:b/>
        </w:rPr>
        <w:t>Şekil-1.</w:t>
      </w:r>
      <w:r w:rsidRPr="003127E7">
        <w:t xml:space="preserve"> </w:t>
      </w:r>
      <w:r w:rsidR="00347514">
        <w:t>İmalat Sanayi</w:t>
      </w:r>
      <w:r w:rsidR="00626D44">
        <w:t xml:space="preserve"> Güven Endeksi</w:t>
      </w:r>
      <w:r w:rsidRPr="003127E7">
        <w:t xml:space="preserve"> karşılaştırılması</w:t>
      </w:r>
      <w:r w:rsidR="003247AE">
        <w:t>*</w:t>
      </w:r>
      <w:r w:rsidRPr="003127E7">
        <w:t xml:space="preserve"> (</w:t>
      </w:r>
      <w:r w:rsidR="00C9407F">
        <w:t>Nisan</w:t>
      </w:r>
      <w:r w:rsidR="00B30B06">
        <w:t xml:space="preserve"> 2015</w:t>
      </w:r>
      <w:r w:rsidR="00ED0BAB">
        <w:t xml:space="preserve"> – </w:t>
      </w:r>
      <w:r w:rsidR="00C9407F">
        <w:t>Nisan</w:t>
      </w:r>
      <w:r w:rsidR="00B30B06">
        <w:t xml:space="preserve"> 2016</w:t>
      </w:r>
      <w:r w:rsidRPr="003127E7">
        <w:t>)</w:t>
      </w:r>
    </w:p>
    <w:p w:rsidR="004B70F5" w:rsidRDefault="00C9407F" w:rsidP="00DE146F">
      <w:pPr>
        <w:tabs>
          <w:tab w:val="left" w:pos="8258"/>
        </w:tabs>
        <w:spacing w:after="0"/>
        <w:jc w:val="both"/>
      </w:pPr>
      <w:r>
        <w:rPr>
          <w:noProof/>
        </w:rPr>
        <w:drawing>
          <wp:inline distT="0" distB="0" distL="0" distR="0" wp14:anchorId="4E440873" wp14:editId="73D00A8C">
            <wp:extent cx="5759450" cy="2254250"/>
            <wp:effectExtent l="0" t="0" r="12700" b="127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146F" w:rsidRDefault="00177F8E" w:rsidP="00287BAC">
      <w:pPr>
        <w:tabs>
          <w:tab w:val="left" w:pos="8258"/>
        </w:tabs>
        <w:spacing w:after="0"/>
        <w:jc w:val="right"/>
        <w:rPr>
          <w:i/>
          <w:sz w:val="20"/>
        </w:rPr>
      </w:pPr>
      <w:r>
        <w:rPr>
          <w:i/>
          <w:sz w:val="20"/>
        </w:rPr>
        <w:t xml:space="preserve">        </w:t>
      </w:r>
      <w:r w:rsidR="00DE146F" w:rsidRPr="00DE146F">
        <w:rPr>
          <w:i/>
          <w:sz w:val="20"/>
        </w:rPr>
        <w:t>*Mevsimsellikten arındırıl</w:t>
      </w:r>
      <w:r w:rsidR="00DE146F" w:rsidRPr="003D7F97">
        <w:rPr>
          <w:i/>
          <w:sz w:val="20"/>
          <w:u w:val="single"/>
        </w:rPr>
        <w:t>ma</w:t>
      </w:r>
      <w:r w:rsidR="00DE146F" w:rsidRPr="00DE146F">
        <w:rPr>
          <w:i/>
          <w:sz w:val="20"/>
        </w:rPr>
        <w:t>mış ser</w:t>
      </w:r>
      <w:r w:rsidR="00123191">
        <w:rPr>
          <w:i/>
          <w:sz w:val="20"/>
        </w:rPr>
        <w:t>iler</w:t>
      </w:r>
    </w:p>
    <w:p w:rsidR="00B763AB" w:rsidRDefault="00B763AB" w:rsidP="00287BAC">
      <w:pPr>
        <w:tabs>
          <w:tab w:val="left" w:pos="8258"/>
        </w:tabs>
        <w:spacing w:after="0"/>
        <w:jc w:val="right"/>
        <w:rPr>
          <w:i/>
          <w:sz w:val="20"/>
        </w:rPr>
      </w:pPr>
    </w:p>
    <w:p w:rsidR="00553783" w:rsidRDefault="00553783" w:rsidP="00553783">
      <w:pPr>
        <w:tabs>
          <w:tab w:val="left" w:pos="8258"/>
        </w:tabs>
        <w:spacing w:after="0"/>
        <w:rPr>
          <w:i/>
          <w:sz w:val="20"/>
        </w:rPr>
      </w:pPr>
      <w:r>
        <w:rPr>
          <w:i/>
          <w:sz w:val="20"/>
        </w:rPr>
        <w:t xml:space="preserve">                                     </w:t>
      </w:r>
    </w:p>
    <w:p w:rsidR="00451F18" w:rsidRPr="00A534C3" w:rsidRDefault="00451F18" w:rsidP="00451F18">
      <w:pPr>
        <w:tabs>
          <w:tab w:val="left" w:pos="8258"/>
        </w:tabs>
        <w:spacing w:after="0"/>
        <w:jc w:val="both"/>
      </w:pPr>
      <w:r w:rsidRPr="003127E7">
        <w:rPr>
          <w:b/>
        </w:rPr>
        <w:t>Tablo-</w:t>
      </w:r>
      <w:r>
        <w:rPr>
          <w:b/>
        </w:rPr>
        <w:t>1</w:t>
      </w:r>
      <w:r w:rsidRPr="003127E7">
        <w:rPr>
          <w:b/>
        </w:rPr>
        <w:t>.</w:t>
      </w:r>
      <w:r w:rsidRPr="003127E7">
        <w:t xml:space="preserve"> </w:t>
      </w:r>
      <w:r>
        <w:t xml:space="preserve">Konya </w:t>
      </w:r>
      <w:r w:rsidR="00347514">
        <w:t>İmalat Sanayi</w:t>
      </w:r>
      <w:r>
        <w:t xml:space="preserve"> Güven Endeksi*</w:t>
      </w:r>
    </w:p>
    <w:tbl>
      <w:tblPr>
        <w:tblStyle w:val="OrtaKlavuz3-Vurgu1"/>
        <w:tblW w:w="10677" w:type="dxa"/>
        <w:jc w:val="center"/>
        <w:tblLook w:val="04A0" w:firstRow="1" w:lastRow="0" w:firstColumn="1" w:lastColumn="0" w:noHBand="0" w:noVBand="1"/>
      </w:tblPr>
      <w:tblGrid>
        <w:gridCol w:w="739"/>
        <w:gridCol w:w="709"/>
        <w:gridCol w:w="772"/>
        <w:gridCol w:w="709"/>
        <w:gridCol w:w="878"/>
        <w:gridCol w:w="772"/>
        <w:gridCol w:w="939"/>
        <w:gridCol w:w="1000"/>
        <w:gridCol w:w="949"/>
        <w:gridCol w:w="849"/>
        <w:gridCol w:w="738"/>
        <w:gridCol w:w="851"/>
        <w:gridCol w:w="772"/>
      </w:tblGrid>
      <w:tr w:rsidR="00451F18" w:rsidRPr="003127E7" w:rsidTr="00A66C81">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9" w:type="dxa"/>
            <w:noWrap/>
            <w:vAlign w:val="center"/>
            <w:hideMark/>
          </w:tcPr>
          <w:p w:rsidR="00451F18" w:rsidRPr="00A534C3" w:rsidRDefault="00451F18" w:rsidP="00005650">
            <w:pPr>
              <w:jc w:val="center"/>
              <w:rPr>
                <w:rFonts w:eastAsia="Times New Roman" w:cs="Arial"/>
                <w:color w:val="000000" w:themeColor="text1"/>
                <w:szCs w:val="20"/>
              </w:rPr>
            </w:pPr>
            <w:r w:rsidRPr="00A534C3">
              <w:rPr>
                <w:rFonts w:eastAsia="Times New Roman" w:cs="Arial"/>
                <w:color w:val="000000" w:themeColor="text1"/>
                <w:szCs w:val="20"/>
              </w:rPr>
              <w:t>%</w:t>
            </w:r>
          </w:p>
        </w:tc>
        <w:tc>
          <w:tcPr>
            <w:tcW w:w="709"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Ocak</w:t>
            </w:r>
          </w:p>
        </w:tc>
        <w:tc>
          <w:tcPr>
            <w:tcW w:w="772"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Şubat</w:t>
            </w:r>
          </w:p>
        </w:tc>
        <w:tc>
          <w:tcPr>
            <w:tcW w:w="709"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Mart</w:t>
            </w:r>
          </w:p>
        </w:tc>
        <w:tc>
          <w:tcPr>
            <w:tcW w:w="878"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Nisan</w:t>
            </w:r>
          </w:p>
        </w:tc>
        <w:tc>
          <w:tcPr>
            <w:tcW w:w="772"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Mayıs</w:t>
            </w:r>
          </w:p>
        </w:tc>
        <w:tc>
          <w:tcPr>
            <w:tcW w:w="939"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Haziran</w:t>
            </w:r>
          </w:p>
        </w:tc>
        <w:tc>
          <w:tcPr>
            <w:tcW w:w="1000"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Temmuz</w:t>
            </w:r>
          </w:p>
        </w:tc>
        <w:tc>
          <w:tcPr>
            <w:tcW w:w="949"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Ağustos</w:t>
            </w:r>
          </w:p>
        </w:tc>
        <w:tc>
          <w:tcPr>
            <w:tcW w:w="849"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Eylül</w:t>
            </w:r>
          </w:p>
        </w:tc>
        <w:tc>
          <w:tcPr>
            <w:tcW w:w="738"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Ekim</w:t>
            </w:r>
          </w:p>
        </w:tc>
        <w:tc>
          <w:tcPr>
            <w:tcW w:w="851"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Kasım</w:t>
            </w:r>
          </w:p>
        </w:tc>
        <w:tc>
          <w:tcPr>
            <w:tcW w:w="772" w:type="dxa"/>
            <w:noWrap/>
            <w:vAlign w:val="center"/>
            <w:hideMark/>
          </w:tcPr>
          <w:p w:rsidR="00451F18" w:rsidRPr="00A534C3" w:rsidRDefault="00451F18" w:rsidP="00005650">
            <w:pPr>
              <w:jc w:val="center"/>
              <w:cnfStyle w:val="100000000000" w:firstRow="1" w:lastRow="0" w:firstColumn="0" w:lastColumn="0" w:oddVBand="0" w:evenVBand="0" w:oddHBand="0" w:evenHBand="0" w:firstRowFirstColumn="0" w:firstRowLastColumn="0" w:lastRowFirstColumn="0" w:lastRowLastColumn="0"/>
              <w:rPr>
                <w:rFonts w:eastAsia="Times New Roman" w:cs="Arial"/>
                <w:color w:val="000000" w:themeColor="text1"/>
                <w:szCs w:val="20"/>
              </w:rPr>
            </w:pPr>
            <w:r w:rsidRPr="00A534C3">
              <w:rPr>
                <w:rFonts w:eastAsia="Times New Roman" w:cs="Arial"/>
                <w:color w:val="000000" w:themeColor="text1"/>
                <w:szCs w:val="20"/>
              </w:rPr>
              <w:t>Aralık</w:t>
            </w:r>
          </w:p>
        </w:tc>
      </w:tr>
      <w:tr w:rsidR="0068368D" w:rsidRPr="003127E7" w:rsidTr="005A66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9" w:type="dxa"/>
            <w:noWrap/>
            <w:vAlign w:val="center"/>
          </w:tcPr>
          <w:p w:rsidR="0068368D" w:rsidRDefault="0068368D" w:rsidP="00F2581E">
            <w:pPr>
              <w:jc w:val="center"/>
              <w:rPr>
                <w:rFonts w:eastAsia="Times New Roman" w:cs="Arial"/>
                <w:color w:val="000000" w:themeColor="text1"/>
                <w:szCs w:val="20"/>
              </w:rPr>
            </w:pPr>
            <w:r>
              <w:rPr>
                <w:rFonts w:eastAsia="Times New Roman" w:cs="Arial"/>
                <w:color w:val="000000" w:themeColor="text1"/>
                <w:szCs w:val="20"/>
              </w:rPr>
              <w:t>2014</w:t>
            </w:r>
          </w:p>
        </w:tc>
        <w:tc>
          <w:tcPr>
            <w:tcW w:w="709" w:type="dxa"/>
            <w:noWrap/>
            <w:vAlign w:val="center"/>
          </w:tcPr>
          <w:p w:rsidR="0068368D" w:rsidRDefault="005A6697" w:rsidP="005A6697">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w:t>
            </w:r>
          </w:p>
        </w:tc>
        <w:tc>
          <w:tcPr>
            <w:tcW w:w="772" w:type="dxa"/>
            <w:noWrap/>
            <w:vAlign w:val="center"/>
          </w:tcPr>
          <w:p w:rsidR="0068368D" w:rsidRDefault="005A6697" w:rsidP="005A6697">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w:t>
            </w:r>
          </w:p>
        </w:tc>
        <w:tc>
          <w:tcPr>
            <w:tcW w:w="709"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19,6</w:t>
            </w:r>
          </w:p>
        </w:tc>
        <w:tc>
          <w:tcPr>
            <w:tcW w:w="878"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20,2</w:t>
            </w:r>
          </w:p>
        </w:tc>
        <w:tc>
          <w:tcPr>
            <w:tcW w:w="772"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20,4</w:t>
            </w:r>
          </w:p>
        </w:tc>
        <w:tc>
          <w:tcPr>
            <w:tcW w:w="939"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22,4</w:t>
            </w:r>
          </w:p>
        </w:tc>
        <w:tc>
          <w:tcPr>
            <w:tcW w:w="1000"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-7,2</w:t>
            </w:r>
          </w:p>
        </w:tc>
        <w:tc>
          <w:tcPr>
            <w:tcW w:w="949"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6,3</w:t>
            </w:r>
          </w:p>
        </w:tc>
        <w:tc>
          <w:tcPr>
            <w:tcW w:w="849"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-2,6</w:t>
            </w:r>
          </w:p>
        </w:tc>
        <w:tc>
          <w:tcPr>
            <w:tcW w:w="738"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-0,8</w:t>
            </w:r>
          </w:p>
        </w:tc>
        <w:tc>
          <w:tcPr>
            <w:tcW w:w="851"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-7,9</w:t>
            </w:r>
          </w:p>
        </w:tc>
        <w:tc>
          <w:tcPr>
            <w:tcW w:w="772"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-8,0</w:t>
            </w:r>
          </w:p>
        </w:tc>
      </w:tr>
      <w:tr w:rsidR="0068368D" w:rsidRPr="003127E7" w:rsidTr="005A6697">
        <w:trPr>
          <w:trHeight w:val="283"/>
          <w:jc w:val="center"/>
        </w:trPr>
        <w:tc>
          <w:tcPr>
            <w:cnfStyle w:val="001000000000" w:firstRow="0" w:lastRow="0" w:firstColumn="1" w:lastColumn="0" w:oddVBand="0" w:evenVBand="0" w:oddHBand="0" w:evenHBand="0" w:firstRowFirstColumn="0" w:firstRowLastColumn="0" w:lastRowFirstColumn="0" w:lastRowLastColumn="0"/>
            <w:tcW w:w="739" w:type="dxa"/>
            <w:noWrap/>
            <w:vAlign w:val="center"/>
            <w:hideMark/>
          </w:tcPr>
          <w:p w:rsidR="0068368D" w:rsidRDefault="0068368D" w:rsidP="00F2581E">
            <w:pPr>
              <w:jc w:val="center"/>
              <w:rPr>
                <w:rFonts w:eastAsia="Times New Roman" w:cs="Arial"/>
                <w:color w:val="000000" w:themeColor="text1"/>
                <w:szCs w:val="20"/>
              </w:rPr>
            </w:pPr>
            <w:r>
              <w:rPr>
                <w:rFonts w:eastAsia="Times New Roman" w:cs="Arial"/>
                <w:color w:val="000000" w:themeColor="text1"/>
                <w:szCs w:val="20"/>
              </w:rPr>
              <w:t>2015</w:t>
            </w:r>
          </w:p>
        </w:tc>
        <w:tc>
          <w:tcPr>
            <w:tcW w:w="709"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r>
              <w:rPr>
                <w:rFonts w:eastAsia="Times New Roman" w:cs="Arial"/>
                <w:color w:val="000000"/>
                <w:szCs w:val="20"/>
              </w:rPr>
              <w:t>3,0</w:t>
            </w:r>
          </w:p>
        </w:tc>
        <w:tc>
          <w:tcPr>
            <w:tcW w:w="772"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rPr>
            </w:pPr>
            <w:r>
              <w:rPr>
                <w:rFonts w:eastAsia="Times New Roman" w:cs="Arial"/>
                <w:color w:val="000000"/>
                <w:szCs w:val="20"/>
              </w:rPr>
              <w:t>9,0</w:t>
            </w:r>
          </w:p>
        </w:tc>
        <w:tc>
          <w:tcPr>
            <w:tcW w:w="709"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16,6</w:t>
            </w:r>
          </w:p>
        </w:tc>
        <w:tc>
          <w:tcPr>
            <w:tcW w:w="878"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14,3</w:t>
            </w:r>
          </w:p>
        </w:tc>
        <w:tc>
          <w:tcPr>
            <w:tcW w:w="772"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16,3</w:t>
            </w:r>
          </w:p>
        </w:tc>
        <w:tc>
          <w:tcPr>
            <w:tcW w:w="939"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-5,5</w:t>
            </w:r>
          </w:p>
        </w:tc>
        <w:tc>
          <w:tcPr>
            <w:tcW w:w="1000"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0,0</w:t>
            </w:r>
          </w:p>
        </w:tc>
        <w:tc>
          <w:tcPr>
            <w:tcW w:w="949"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3,3</w:t>
            </w:r>
          </w:p>
        </w:tc>
        <w:tc>
          <w:tcPr>
            <w:tcW w:w="849"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-4,2</w:t>
            </w:r>
          </w:p>
        </w:tc>
        <w:tc>
          <w:tcPr>
            <w:tcW w:w="738" w:type="dxa"/>
            <w:noWrap/>
            <w:vAlign w:val="center"/>
            <w:hideMark/>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0,8</w:t>
            </w:r>
          </w:p>
        </w:tc>
        <w:tc>
          <w:tcPr>
            <w:tcW w:w="851" w:type="dxa"/>
            <w:noWrap/>
            <w:vAlign w:val="center"/>
          </w:tcPr>
          <w:p w:rsidR="0068368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12,9</w:t>
            </w:r>
          </w:p>
        </w:tc>
        <w:tc>
          <w:tcPr>
            <w:tcW w:w="772" w:type="dxa"/>
            <w:noWrap/>
            <w:vAlign w:val="center"/>
          </w:tcPr>
          <w:p w:rsidR="0068368D" w:rsidRPr="002D0C2D" w:rsidRDefault="0068368D" w:rsidP="005A669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11,0</w:t>
            </w:r>
          </w:p>
        </w:tc>
      </w:tr>
      <w:tr w:rsidR="0068368D" w:rsidRPr="003127E7" w:rsidTr="005A669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39" w:type="dxa"/>
            <w:noWrap/>
            <w:vAlign w:val="center"/>
            <w:hideMark/>
          </w:tcPr>
          <w:p w:rsidR="0068368D" w:rsidRDefault="0068368D" w:rsidP="00F2581E">
            <w:pPr>
              <w:jc w:val="center"/>
              <w:rPr>
                <w:rFonts w:eastAsia="Times New Roman" w:cs="Arial"/>
                <w:color w:val="000000" w:themeColor="text1"/>
                <w:szCs w:val="20"/>
              </w:rPr>
            </w:pPr>
            <w:r>
              <w:rPr>
                <w:rFonts w:eastAsia="Times New Roman" w:cs="Arial"/>
                <w:color w:val="000000" w:themeColor="text1"/>
                <w:szCs w:val="20"/>
              </w:rPr>
              <w:t>2016</w:t>
            </w:r>
          </w:p>
        </w:tc>
        <w:tc>
          <w:tcPr>
            <w:tcW w:w="709"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-5,3</w:t>
            </w:r>
          </w:p>
        </w:tc>
        <w:tc>
          <w:tcPr>
            <w:tcW w:w="772"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rPr>
            </w:pPr>
            <w:r>
              <w:rPr>
                <w:rFonts w:eastAsia="Times New Roman" w:cs="Arial"/>
                <w:color w:val="000000"/>
                <w:szCs w:val="20"/>
              </w:rPr>
              <w:t>7,8</w:t>
            </w:r>
          </w:p>
        </w:tc>
        <w:tc>
          <w:tcPr>
            <w:tcW w:w="709" w:type="dxa"/>
            <w:noWrap/>
            <w:vAlign w:val="center"/>
          </w:tcPr>
          <w:p w:rsidR="0068368D" w:rsidRDefault="00C85F67"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13,7</w:t>
            </w:r>
          </w:p>
        </w:tc>
        <w:tc>
          <w:tcPr>
            <w:tcW w:w="878" w:type="dxa"/>
            <w:noWrap/>
            <w:vAlign w:val="center"/>
          </w:tcPr>
          <w:p w:rsidR="0068368D" w:rsidRDefault="00642977"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11,7</w:t>
            </w:r>
          </w:p>
        </w:tc>
        <w:tc>
          <w:tcPr>
            <w:tcW w:w="772"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939"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1000"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949"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849"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738" w:type="dxa"/>
            <w:noWrap/>
            <w:vAlign w:val="center"/>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851" w:type="dxa"/>
            <w:noWrap/>
            <w:vAlign w:val="center"/>
            <w:hideMark/>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772" w:type="dxa"/>
            <w:noWrap/>
            <w:vAlign w:val="center"/>
            <w:hideMark/>
          </w:tcPr>
          <w:p w:rsidR="0068368D" w:rsidRDefault="0068368D" w:rsidP="005A669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rsidR="00451F18" w:rsidRDefault="00451F18" w:rsidP="00F2581E">
      <w:pPr>
        <w:tabs>
          <w:tab w:val="left" w:pos="8258"/>
        </w:tabs>
        <w:spacing w:after="0"/>
        <w:jc w:val="center"/>
        <w:rPr>
          <w:i/>
          <w:sz w:val="20"/>
        </w:rPr>
      </w:pPr>
    </w:p>
    <w:p w:rsidR="00CC0113" w:rsidRDefault="00CC0113" w:rsidP="00287BAC">
      <w:pPr>
        <w:tabs>
          <w:tab w:val="left" w:pos="8258"/>
        </w:tabs>
        <w:spacing w:after="0"/>
        <w:jc w:val="right"/>
        <w:rPr>
          <w:i/>
          <w:sz w:val="20"/>
        </w:rPr>
      </w:pPr>
    </w:p>
    <w:p w:rsidR="00CF0F47" w:rsidRDefault="00CF0F47" w:rsidP="00287BAC">
      <w:pPr>
        <w:tabs>
          <w:tab w:val="left" w:pos="8258"/>
        </w:tabs>
        <w:spacing w:after="0"/>
        <w:jc w:val="right"/>
        <w:rPr>
          <w:i/>
          <w:sz w:val="20"/>
        </w:rPr>
      </w:pPr>
    </w:p>
    <w:p w:rsidR="00791B59" w:rsidRDefault="00791B59" w:rsidP="00CF0F47"/>
    <w:p w:rsidR="003E5248" w:rsidRPr="00347514" w:rsidRDefault="003E5248" w:rsidP="003E5248">
      <w:pPr>
        <w:pStyle w:val="Balk2"/>
        <w:spacing w:before="0" w:after="240" w:line="240" w:lineRule="auto"/>
        <w:jc w:val="both"/>
        <w:rPr>
          <w:rFonts w:asciiTheme="minorHAnsi" w:hAnsiTheme="minorHAnsi" w:cs="Arial"/>
          <w:color w:val="595959" w:themeColor="text1" w:themeTint="A6"/>
          <w:sz w:val="28"/>
        </w:rPr>
      </w:pPr>
      <w:r w:rsidRPr="00347514">
        <w:rPr>
          <w:rFonts w:asciiTheme="minorHAnsi" w:hAnsiTheme="minorHAnsi" w:cs="Arial"/>
          <w:color w:val="595959" w:themeColor="text1" w:themeTint="A6"/>
          <w:sz w:val="28"/>
        </w:rPr>
        <w:lastRenderedPageBreak/>
        <w:t xml:space="preserve">Konya </w:t>
      </w:r>
      <w:r w:rsidR="00FE1A85">
        <w:rPr>
          <w:rFonts w:asciiTheme="minorHAnsi" w:hAnsiTheme="minorHAnsi" w:cs="Arial"/>
          <w:color w:val="595959" w:themeColor="text1" w:themeTint="A6"/>
          <w:sz w:val="28"/>
        </w:rPr>
        <w:t>imalat sanayi</w:t>
      </w:r>
      <w:r w:rsidR="00715850">
        <w:rPr>
          <w:rFonts w:asciiTheme="minorHAnsi" w:hAnsiTheme="minorHAnsi" w:cs="Arial"/>
          <w:color w:val="595959" w:themeColor="text1" w:themeTint="A6"/>
          <w:sz w:val="28"/>
        </w:rPr>
        <w:t>n</w:t>
      </w:r>
      <w:r w:rsidR="000B2D52">
        <w:rPr>
          <w:rFonts w:asciiTheme="minorHAnsi" w:hAnsiTheme="minorHAnsi" w:cs="Arial"/>
          <w:color w:val="595959" w:themeColor="text1" w:themeTint="A6"/>
          <w:sz w:val="28"/>
        </w:rPr>
        <w:t xml:space="preserve">in yüzde </w:t>
      </w:r>
      <w:r w:rsidR="00642977">
        <w:rPr>
          <w:rFonts w:asciiTheme="minorHAnsi" w:hAnsiTheme="minorHAnsi" w:cs="Arial"/>
          <w:color w:val="595959" w:themeColor="text1" w:themeTint="A6"/>
          <w:sz w:val="28"/>
        </w:rPr>
        <w:t>42</w:t>
      </w:r>
      <w:r w:rsidR="000B2D52">
        <w:rPr>
          <w:rFonts w:asciiTheme="minorHAnsi" w:hAnsiTheme="minorHAnsi" w:cs="Arial"/>
          <w:color w:val="595959" w:themeColor="text1" w:themeTint="A6"/>
          <w:sz w:val="28"/>
        </w:rPr>
        <w:t>’</w:t>
      </w:r>
      <w:r w:rsidR="00642977">
        <w:rPr>
          <w:rFonts w:asciiTheme="minorHAnsi" w:hAnsiTheme="minorHAnsi" w:cs="Arial"/>
          <w:color w:val="595959" w:themeColor="text1" w:themeTint="A6"/>
          <w:sz w:val="28"/>
        </w:rPr>
        <w:t>s</w:t>
      </w:r>
      <w:r w:rsidR="00C85F67">
        <w:rPr>
          <w:rFonts w:asciiTheme="minorHAnsi" w:hAnsiTheme="minorHAnsi" w:cs="Arial"/>
          <w:color w:val="595959" w:themeColor="text1" w:themeTint="A6"/>
          <w:sz w:val="28"/>
        </w:rPr>
        <w:t>i</w:t>
      </w:r>
      <w:r w:rsidR="00732846">
        <w:rPr>
          <w:rFonts w:asciiTheme="minorHAnsi" w:hAnsiTheme="minorHAnsi" w:cs="Arial"/>
          <w:color w:val="595959" w:themeColor="text1" w:themeTint="A6"/>
          <w:sz w:val="28"/>
        </w:rPr>
        <w:t xml:space="preserve"> genel </w:t>
      </w:r>
      <w:r w:rsidR="000B4CB5">
        <w:rPr>
          <w:rFonts w:asciiTheme="minorHAnsi" w:hAnsiTheme="minorHAnsi" w:cs="Arial"/>
          <w:color w:val="595959" w:themeColor="text1" w:themeTint="A6"/>
          <w:sz w:val="28"/>
        </w:rPr>
        <w:t>gidişat</w:t>
      </w:r>
      <w:r w:rsidR="004E4859">
        <w:rPr>
          <w:rFonts w:asciiTheme="minorHAnsi" w:hAnsiTheme="minorHAnsi" w:cs="Arial"/>
          <w:color w:val="595959" w:themeColor="text1" w:themeTint="A6"/>
          <w:sz w:val="28"/>
        </w:rPr>
        <w:t>ın</w:t>
      </w:r>
      <w:r w:rsidR="000B4CB5">
        <w:rPr>
          <w:rFonts w:asciiTheme="minorHAnsi" w:hAnsiTheme="minorHAnsi" w:cs="Arial"/>
          <w:color w:val="595959" w:themeColor="text1" w:themeTint="A6"/>
          <w:sz w:val="28"/>
        </w:rPr>
        <w:t xml:space="preserve"> </w:t>
      </w:r>
      <w:r w:rsidR="00652577">
        <w:rPr>
          <w:rFonts w:asciiTheme="minorHAnsi" w:hAnsiTheme="minorHAnsi" w:cs="Arial"/>
          <w:color w:val="595959" w:themeColor="text1" w:themeTint="A6"/>
          <w:sz w:val="28"/>
        </w:rPr>
        <w:t xml:space="preserve">geçen aya </w:t>
      </w:r>
      <w:r w:rsidR="001B4C17">
        <w:rPr>
          <w:rFonts w:asciiTheme="minorHAnsi" w:hAnsiTheme="minorHAnsi" w:cs="Arial"/>
          <w:color w:val="595959" w:themeColor="text1" w:themeTint="A6"/>
          <w:sz w:val="28"/>
        </w:rPr>
        <w:t>göre daha iyi</w:t>
      </w:r>
      <w:r w:rsidR="004E4859">
        <w:rPr>
          <w:rFonts w:asciiTheme="minorHAnsi" w:hAnsiTheme="minorHAnsi" w:cs="Arial"/>
          <w:color w:val="595959" w:themeColor="text1" w:themeTint="A6"/>
          <w:sz w:val="28"/>
        </w:rPr>
        <w:t xml:space="preserve"> olduğunu ifade etti</w:t>
      </w:r>
      <w:r w:rsidR="00A60A5F">
        <w:rPr>
          <w:rFonts w:asciiTheme="minorHAnsi" w:hAnsiTheme="minorHAnsi" w:cs="Arial"/>
          <w:color w:val="595959" w:themeColor="text1" w:themeTint="A6"/>
          <w:sz w:val="28"/>
        </w:rPr>
        <w:t>:</w:t>
      </w:r>
    </w:p>
    <w:p w:rsidR="00D21106" w:rsidRDefault="003E5248" w:rsidP="003E5248">
      <w:pPr>
        <w:spacing w:after="240"/>
        <w:jc w:val="both"/>
        <w:rPr>
          <w:sz w:val="24"/>
        </w:rPr>
      </w:pPr>
      <w:r w:rsidRPr="00A1121C">
        <w:rPr>
          <w:sz w:val="24"/>
        </w:rPr>
        <w:t>Konya imalat sanayi</w:t>
      </w:r>
      <w:r>
        <w:rPr>
          <w:sz w:val="24"/>
        </w:rPr>
        <w:t xml:space="preserve">nin yüzde </w:t>
      </w:r>
      <w:r w:rsidR="00642977">
        <w:rPr>
          <w:sz w:val="24"/>
        </w:rPr>
        <w:t>42</w:t>
      </w:r>
      <w:r w:rsidR="00C85F67">
        <w:rPr>
          <w:sz w:val="24"/>
        </w:rPr>
        <w:t>’</w:t>
      </w:r>
      <w:r w:rsidR="00642977">
        <w:rPr>
          <w:sz w:val="24"/>
        </w:rPr>
        <w:t>s</w:t>
      </w:r>
      <w:r w:rsidR="00C85F67">
        <w:rPr>
          <w:sz w:val="24"/>
        </w:rPr>
        <w:t>i</w:t>
      </w:r>
      <w:r w:rsidRPr="00A1121C">
        <w:rPr>
          <w:sz w:val="24"/>
        </w:rPr>
        <w:t xml:space="preserve"> </w:t>
      </w:r>
      <w:r>
        <w:rPr>
          <w:sz w:val="24"/>
        </w:rPr>
        <w:t>bir</w:t>
      </w:r>
      <w:r w:rsidRPr="00A1121C">
        <w:rPr>
          <w:sz w:val="24"/>
        </w:rPr>
        <w:t xml:space="preserve"> ay öncesine göre </w:t>
      </w:r>
      <w:r>
        <w:rPr>
          <w:sz w:val="24"/>
        </w:rPr>
        <w:t>imalat sanayi</w:t>
      </w:r>
      <w:r w:rsidR="001C63F1">
        <w:rPr>
          <w:sz w:val="24"/>
        </w:rPr>
        <w:t>n</w:t>
      </w:r>
      <w:r>
        <w:rPr>
          <w:sz w:val="24"/>
        </w:rPr>
        <w:t>deki genel gidiş</w:t>
      </w:r>
      <w:r w:rsidR="009B4A64">
        <w:rPr>
          <w:sz w:val="24"/>
        </w:rPr>
        <w:t xml:space="preserve">atın daha </w:t>
      </w:r>
      <w:r w:rsidR="001B4C17">
        <w:rPr>
          <w:sz w:val="24"/>
        </w:rPr>
        <w:t>iyi</w:t>
      </w:r>
      <w:r w:rsidR="009B4A64">
        <w:rPr>
          <w:sz w:val="24"/>
        </w:rPr>
        <w:t xml:space="preserve"> olduğunu düşünmektedir</w:t>
      </w:r>
      <w:r w:rsidR="001B4C17">
        <w:rPr>
          <w:sz w:val="24"/>
        </w:rPr>
        <w:t>. Daha kötü</w:t>
      </w:r>
      <w:r>
        <w:rPr>
          <w:sz w:val="24"/>
        </w:rPr>
        <w:t xml:space="preserve"> oldu</w:t>
      </w:r>
      <w:r w:rsidR="00950BB5">
        <w:rPr>
          <w:sz w:val="24"/>
        </w:rPr>
        <w:t xml:space="preserve">ğunu düşünenlerin oranı yüzde </w:t>
      </w:r>
      <w:r w:rsidR="00642977">
        <w:rPr>
          <w:sz w:val="24"/>
        </w:rPr>
        <w:t>30</w:t>
      </w:r>
      <w:r w:rsidR="001B4C17">
        <w:rPr>
          <w:sz w:val="24"/>
        </w:rPr>
        <w:t>,7</w:t>
      </w:r>
      <w:r>
        <w:rPr>
          <w:sz w:val="24"/>
        </w:rPr>
        <w:t xml:space="preserve"> </w:t>
      </w:r>
      <w:r w:rsidR="0062420D">
        <w:rPr>
          <w:sz w:val="24"/>
        </w:rPr>
        <w:t>i</w:t>
      </w:r>
      <w:r>
        <w:rPr>
          <w:sz w:val="24"/>
        </w:rPr>
        <w:t xml:space="preserve">ken aynı olduğunu düşünenlerin oranı yüzde </w:t>
      </w:r>
      <w:r w:rsidR="00642977">
        <w:rPr>
          <w:sz w:val="24"/>
        </w:rPr>
        <w:t>27</w:t>
      </w:r>
      <w:r w:rsidR="00C85F67">
        <w:rPr>
          <w:sz w:val="24"/>
        </w:rPr>
        <w:t>,3</w:t>
      </w:r>
      <w:r w:rsidR="00F56B53">
        <w:rPr>
          <w:sz w:val="24"/>
        </w:rPr>
        <w:t xml:space="preserve"> </w:t>
      </w:r>
      <w:r>
        <w:rPr>
          <w:sz w:val="24"/>
        </w:rPr>
        <w:t>düzeyinde</w:t>
      </w:r>
      <w:r w:rsidR="009B4A64">
        <w:rPr>
          <w:sz w:val="24"/>
        </w:rPr>
        <w:t>dir</w:t>
      </w:r>
      <w:r>
        <w:rPr>
          <w:sz w:val="24"/>
        </w:rPr>
        <w:t>.</w:t>
      </w:r>
      <w:r w:rsidR="007F07CF">
        <w:rPr>
          <w:sz w:val="24"/>
        </w:rPr>
        <w:t xml:space="preserve"> </w:t>
      </w:r>
    </w:p>
    <w:p w:rsidR="003E5248" w:rsidRDefault="003E5248" w:rsidP="003E5248">
      <w:pPr>
        <w:spacing w:after="240"/>
        <w:jc w:val="both"/>
        <w:rPr>
          <w:sz w:val="24"/>
        </w:rPr>
      </w:pPr>
      <w:r>
        <w:rPr>
          <w:sz w:val="24"/>
        </w:rPr>
        <w:t>İmalat sanayi</w:t>
      </w:r>
      <w:r w:rsidR="00406F84">
        <w:rPr>
          <w:sz w:val="24"/>
        </w:rPr>
        <w:t>n</w:t>
      </w:r>
      <w:r>
        <w:rPr>
          <w:sz w:val="24"/>
        </w:rPr>
        <w:t xml:space="preserve">deki </w:t>
      </w:r>
      <w:r w:rsidR="00732846">
        <w:rPr>
          <w:sz w:val="24"/>
        </w:rPr>
        <w:t>genel gidişata bakıl</w:t>
      </w:r>
      <w:r w:rsidR="001C63F1">
        <w:rPr>
          <w:sz w:val="24"/>
        </w:rPr>
        <w:t>dığında</w:t>
      </w:r>
      <w:r w:rsidR="00F2581E">
        <w:rPr>
          <w:sz w:val="24"/>
        </w:rPr>
        <w:t>, Konya’nın</w:t>
      </w:r>
      <w:r w:rsidR="0090769E">
        <w:rPr>
          <w:sz w:val="24"/>
        </w:rPr>
        <w:t xml:space="preserve"> </w:t>
      </w:r>
      <w:r>
        <w:rPr>
          <w:sz w:val="24"/>
        </w:rPr>
        <w:t xml:space="preserve">Türkiye geneline göre daha </w:t>
      </w:r>
      <w:r w:rsidR="00406F84">
        <w:rPr>
          <w:sz w:val="24"/>
        </w:rPr>
        <w:t>iyi</w:t>
      </w:r>
      <w:r w:rsidR="00BE327C">
        <w:rPr>
          <w:sz w:val="24"/>
        </w:rPr>
        <w:t xml:space="preserve"> bir performans sergilediği g</w:t>
      </w:r>
      <w:r w:rsidR="009B4A64">
        <w:rPr>
          <w:sz w:val="24"/>
        </w:rPr>
        <w:t>örülmüştür</w:t>
      </w:r>
      <w:r>
        <w:rPr>
          <w:sz w:val="24"/>
        </w:rPr>
        <w:t>.</w:t>
      </w:r>
      <w:r w:rsidR="00164168">
        <w:rPr>
          <w:sz w:val="24"/>
        </w:rPr>
        <w:t xml:space="preserve"> </w:t>
      </w:r>
      <w:r w:rsidR="00652577">
        <w:rPr>
          <w:sz w:val="24"/>
        </w:rPr>
        <w:t>Konya imalat sa</w:t>
      </w:r>
      <w:r w:rsidR="00BD43B6">
        <w:rPr>
          <w:sz w:val="24"/>
        </w:rPr>
        <w:t xml:space="preserve">nayindeki genel gidişat, </w:t>
      </w:r>
      <w:r w:rsidR="000E59DE">
        <w:rPr>
          <w:sz w:val="24"/>
        </w:rPr>
        <w:t>geçen aya ve</w:t>
      </w:r>
      <w:r w:rsidR="002C0A97">
        <w:rPr>
          <w:sz w:val="24"/>
        </w:rPr>
        <w:t xml:space="preserve"> geçen yılın</w:t>
      </w:r>
      <w:r w:rsidR="00C85F67">
        <w:rPr>
          <w:sz w:val="24"/>
        </w:rPr>
        <w:t xml:space="preserve"> aynı dönemine göre yükselmiştir</w:t>
      </w:r>
      <w:r w:rsidR="00690B7C">
        <w:rPr>
          <w:sz w:val="24"/>
        </w:rPr>
        <w:t>.</w:t>
      </w:r>
    </w:p>
    <w:p w:rsidR="00335ABD" w:rsidRDefault="00335ABD" w:rsidP="00147DF5">
      <w:pPr>
        <w:tabs>
          <w:tab w:val="left" w:pos="8258"/>
        </w:tabs>
        <w:spacing w:after="0"/>
        <w:jc w:val="both"/>
        <w:rPr>
          <w:b/>
        </w:rPr>
      </w:pPr>
    </w:p>
    <w:p w:rsidR="00147DF5" w:rsidRDefault="00147DF5" w:rsidP="00147DF5">
      <w:pPr>
        <w:tabs>
          <w:tab w:val="left" w:pos="8258"/>
        </w:tabs>
        <w:spacing w:after="0"/>
        <w:jc w:val="both"/>
      </w:pPr>
      <w:r w:rsidRPr="003127E7">
        <w:rPr>
          <w:b/>
        </w:rPr>
        <w:t>Şekil-</w:t>
      </w:r>
      <w:r w:rsidR="00335ABD">
        <w:rPr>
          <w:b/>
        </w:rPr>
        <w:t>2</w:t>
      </w:r>
      <w:r w:rsidRPr="003127E7">
        <w:rPr>
          <w:b/>
        </w:rPr>
        <w:t>.</w:t>
      </w:r>
      <w:r w:rsidRPr="003127E7">
        <w:t xml:space="preserve"> </w:t>
      </w:r>
      <w:r>
        <w:t xml:space="preserve">Geçtiğimiz aya göre </w:t>
      </w:r>
      <w:r w:rsidR="008A1085">
        <w:t>imalat sanayi</w:t>
      </w:r>
      <w:r w:rsidR="00715850">
        <w:t>n</w:t>
      </w:r>
      <w:r w:rsidR="008A1085">
        <w:t>de genel gidişat</w:t>
      </w:r>
      <w:r>
        <w:t>*</w:t>
      </w:r>
      <w:r w:rsidRPr="00662EBC">
        <w:t>(%arttı – %azaldı)</w:t>
      </w:r>
      <w:r w:rsidRPr="003127E7">
        <w:t xml:space="preserve"> (</w:t>
      </w:r>
      <w:r w:rsidR="00642977">
        <w:t>Nisan</w:t>
      </w:r>
      <w:r w:rsidR="00DD03CC">
        <w:t xml:space="preserve"> </w:t>
      </w:r>
      <w:r w:rsidR="001B4C17">
        <w:t>2015</w:t>
      </w:r>
      <w:r w:rsidRPr="003127E7">
        <w:t xml:space="preserve"> –</w:t>
      </w:r>
      <w:r w:rsidR="0087597E">
        <w:t xml:space="preserve"> </w:t>
      </w:r>
      <w:r w:rsidR="00642977">
        <w:t>Nisan</w:t>
      </w:r>
      <w:r w:rsidR="00DD03CC">
        <w:t xml:space="preserve"> </w:t>
      </w:r>
      <w:r w:rsidR="001B4C17">
        <w:t>2016</w:t>
      </w:r>
      <w:r w:rsidRPr="003127E7">
        <w:t>)</w:t>
      </w:r>
    </w:p>
    <w:p w:rsidR="00DB04D1" w:rsidRPr="00983B31" w:rsidRDefault="00642977" w:rsidP="00147DF5">
      <w:pPr>
        <w:tabs>
          <w:tab w:val="left" w:pos="8258"/>
        </w:tabs>
        <w:spacing w:after="0"/>
        <w:jc w:val="both"/>
        <w:rPr>
          <w:b/>
        </w:rPr>
      </w:pPr>
      <w:r>
        <w:rPr>
          <w:noProof/>
        </w:rPr>
        <w:drawing>
          <wp:inline distT="0" distB="0" distL="0" distR="0" wp14:anchorId="1F82F01F" wp14:editId="1D004151">
            <wp:extent cx="5760720" cy="2264846"/>
            <wp:effectExtent l="0" t="0" r="11430" b="2159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70F5" w:rsidRDefault="004B70F5" w:rsidP="00147DF5">
      <w:pPr>
        <w:tabs>
          <w:tab w:val="left" w:pos="8258"/>
        </w:tabs>
        <w:spacing w:after="0"/>
        <w:jc w:val="both"/>
      </w:pPr>
    </w:p>
    <w:p w:rsidR="00335ABD" w:rsidRDefault="00335ABD" w:rsidP="009A2367">
      <w:pPr>
        <w:spacing w:after="240"/>
        <w:jc w:val="both"/>
        <w:rPr>
          <w:sz w:val="24"/>
        </w:rPr>
      </w:pPr>
    </w:p>
    <w:p w:rsidR="003E5248" w:rsidRDefault="009A2367" w:rsidP="009A2367">
      <w:pPr>
        <w:spacing w:after="240"/>
        <w:jc w:val="both"/>
        <w:rPr>
          <w:rFonts w:cs="Arial"/>
          <w:color w:val="595959" w:themeColor="text1" w:themeTint="A6"/>
          <w:sz w:val="28"/>
        </w:rPr>
      </w:pPr>
      <w:r>
        <w:rPr>
          <w:sz w:val="24"/>
        </w:rPr>
        <w:t>Konya’da faaliyet g</w:t>
      </w:r>
      <w:r w:rsidR="007C0237">
        <w:rPr>
          <w:sz w:val="24"/>
        </w:rPr>
        <w:t xml:space="preserve">österen sanayicilerin yüzde </w:t>
      </w:r>
      <w:r w:rsidR="00642977">
        <w:rPr>
          <w:sz w:val="24"/>
        </w:rPr>
        <w:t>0,3’ü</w:t>
      </w:r>
      <w:r>
        <w:rPr>
          <w:sz w:val="24"/>
        </w:rPr>
        <w:t xml:space="preserve"> ö</w:t>
      </w:r>
      <w:r w:rsidRPr="009A2367">
        <w:rPr>
          <w:sz w:val="24"/>
        </w:rPr>
        <w:t xml:space="preserve">nümüzdeki </w:t>
      </w:r>
      <w:r w:rsidR="00D21106">
        <w:rPr>
          <w:sz w:val="24"/>
        </w:rPr>
        <w:t>3</w:t>
      </w:r>
      <w:r w:rsidRPr="009A2367">
        <w:rPr>
          <w:sz w:val="24"/>
        </w:rPr>
        <w:t xml:space="preserve"> ayda kısa vadeli Türk Lirası kredi faiz oranının </w:t>
      </w:r>
      <w:r w:rsidR="007F07CF">
        <w:rPr>
          <w:sz w:val="24"/>
        </w:rPr>
        <w:t>artmasını</w:t>
      </w:r>
      <w:r w:rsidR="00642977">
        <w:rPr>
          <w:sz w:val="24"/>
        </w:rPr>
        <w:t>, yüzde 73</w:t>
      </w:r>
      <w:r w:rsidR="000B4CB5">
        <w:rPr>
          <w:sz w:val="24"/>
        </w:rPr>
        <w:t>’</w:t>
      </w:r>
      <w:r w:rsidR="00642977">
        <w:rPr>
          <w:sz w:val="24"/>
        </w:rPr>
        <w:t>ü</w:t>
      </w:r>
      <w:r w:rsidR="007C0237">
        <w:rPr>
          <w:sz w:val="24"/>
        </w:rPr>
        <w:t xml:space="preserve"> ise </w:t>
      </w:r>
      <w:r w:rsidR="00BE327C">
        <w:rPr>
          <w:sz w:val="24"/>
        </w:rPr>
        <w:t>azalmasını</w:t>
      </w:r>
      <w:r>
        <w:rPr>
          <w:sz w:val="24"/>
        </w:rPr>
        <w:t xml:space="preserve"> bekliyor.</w:t>
      </w:r>
    </w:p>
    <w:p w:rsidR="00C40C31" w:rsidRDefault="00C40C31" w:rsidP="0051573F">
      <w:pPr>
        <w:pStyle w:val="Balk2"/>
        <w:spacing w:before="0" w:after="240" w:line="240" w:lineRule="auto"/>
        <w:jc w:val="both"/>
        <w:rPr>
          <w:rFonts w:asciiTheme="minorHAnsi" w:hAnsiTheme="minorHAnsi" w:cs="Arial"/>
          <w:color w:val="595959" w:themeColor="text1" w:themeTint="A6"/>
          <w:sz w:val="28"/>
        </w:rPr>
      </w:pPr>
    </w:p>
    <w:p w:rsidR="00C40C31" w:rsidRDefault="00C40C31" w:rsidP="0051573F">
      <w:pPr>
        <w:pStyle w:val="Balk2"/>
        <w:spacing w:before="0" w:after="240" w:line="240" w:lineRule="auto"/>
        <w:jc w:val="both"/>
        <w:rPr>
          <w:rFonts w:asciiTheme="minorHAnsi" w:hAnsiTheme="minorHAnsi" w:cs="Arial"/>
          <w:color w:val="595959" w:themeColor="text1" w:themeTint="A6"/>
          <w:sz w:val="28"/>
        </w:rPr>
      </w:pPr>
    </w:p>
    <w:p w:rsidR="00C40C31" w:rsidRDefault="00C40C31" w:rsidP="0051573F">
      <w:pPr>
        <w:pStyle w:val="Balk2"/>
        <w:spacing w:before="0" w:after="240" w:line="240" w:lineRule="auto"/>
        <w:jc w:val="both"/>
        <w:rPr>
          <w:rFonts w:asciiTheme="minorHAnsi" w:hAnsiTheme="minorHAnsi" w:cs="Arial"/>
          <w:color w:val="595959" w:themeColor="text1" w:themeTint="A6"/>
          <w:sz w:val="28"/>
        </w:rPr>
      </w:pPr>
    </w:p>
    <w:p w:rsidR="00C40C31" w:rsidRDefault="00C40C31" w:rsidP="0051573F">
      <w:pPr>
        <w:pStyle w:val="Balk2"/>
        <w:spacing w:before="0" w:after="240" w:line="240" w:lineRule="auto"/>
        <w:jc w:val="both"/>
        <w:rPr>
          <w:rFonts w:asciiTheme="minorHAnsi" w:hAnsiTheme="minorHAnsi" w:cs="Arial"/>
          <w:color w:val="595959" w:themeColor="text1" w:themeTint="A6"/>
          <w:sz w:val="28"/>
        </w:rPr>
      </w:pPr>
    </w:p>
    <w:p w:rsidR="00C40C31" w:rsidRDefault="00C40C31" w:rsidP="00C40C31"/>
    <w:p w:rsidR="00C40C31" w:rsidRPr="00C40C31" w:rsidRDefault="00C40C31" w:rsidP="00C40C31"/>
    <w:p w:rsidR="008A0484" w:rsidRPr="0051573F" w:rsidRDefault="003D062E" w:rsidP="0051573F">
      <w:pPr>
        <w:pStyle w:val="Balk2"/>
        <w:spacing w:before="0" w:after="240" w:line="240" w:lineRule="auto"/>
        <w:jc w:val="both"/>
        <w:rPr>
          <w:rFonts w:asciiTheme="minorHAnsi" w:hAnsiTheme="minorHAnsi" w:cs="Arial"/>
          <w:color w:val="595959" w:themeColor="text1" w:themeTint="A6"/>
          <w:sz w:val="28"/>
        </w:rPr>
      </w:pPr>
      <w:r>
        <w:rPr>
          <w:rFonts w:asciiTheme="minorHAnsi" w:hAnsiTheme="minorHAnsi" w:cs="Arial"/>
          <w:color w:val="595959" w:themeColor="text1" w:themeTint="A6"/>
          <w:sz w:val="28"/>
        </w:rPr>
        <w:lastRenderedPageBreak/>
        <w:t>Nisan</w:t>
      </w:r>
      <w:r w:rsidR="002366AF">
        <w:rPr>
          <w:rFonts w:asciiTheme="minorHAnsi" w:hAnsiTheme="minorHAnsi" w:cs="Arial"/>
          <w:color w:val="595959" w:themeColor="text1" w:themeTint="A6"/>
          <w:sz w:val="28"/>
        </w:rPr>
        <w:t xml:space="preserve"> ayının lideri </w:t>
      </w:r>
      <w:r w:rsidR="00731D77">
        <w:rPr>
          <w:rFonts w:asciiTheme="minorHAnsi" w:hAnsiTheme="minorHAnsi" w:cs="Arial"/>
          <w:color w:val="595959" w:themeColor="text1" w:themeTint="A6"/>
          <w:sz w:val="28"/>
        </w:rPr>
        <w:t>ara malları</w:t>
      </w:r>
      <w:r w:rsidR="002366AF">
        <w:rPr>
          <w:rFonts w:asciiTheme="minorHAnsi" w:hAnsiTheme="minorHAnsi" w:cs="Arial"/>
          <w:color w:val="595959" w:themeColor="text1" w:themeTint="A6"/>
          <w:sz w:val="28"/>
        </w:rPr>
        <w:t xml:space="preserve"> sektörü oldu</w:t>
      </w:r>
      <w:r w:rsidR="009C748C">
        <w:rPr>
          <w:rFonts w:asciiTheme="minorHAnsi" w:hAnsiTheme="minorHAnsi" w:cs="Arial"/>
          <w:color w:val="595959" w:themeColor="text1" w:themeTint="A6"/>
          <w:sz w:val="28"/>
        </w:rPr>
        <w:t>:</w:t>
      </w:r>
    </w:p>
    <w:p w:rsidR="009B4A64" w:rsidRPr="003C6AFC" w:rsidRDefault="00871849" w:rsidP="00871849">
      <w:pPr>
        <w:spacing w:after="240"/>
        <w:jc w:val="both"/>
        <w:rPr>
          <w:bCs/>
          <w:sz w:val="24"/>
        </w:rPr>
      </w:pPr>
      <w:r w:rsidRPr="003C6AFC">
        <w:rPr>
          <w:sz w:val="24"/>
        </w:rPr>
        <w:t xml:space="preserve">Konya’da </w:t>
      </w:r>
      <w:r w:rsidR="006A0AD4" w:rsidRPr="003C6AFC">
        <w:rPr>
          <w:sz w:val="24"/>
        </w:rPr>
        <w:t>imalat sanayi</w:t>
      </w:r>
      <w:r w:rsidR="00F3173C">
        <w:rPr>
          <w:sz w:val="24"/>
        </w:rPr>
        <w:t>n</w:t>
      </w:r>
      <w:r w:rsidR="00F75F4C" w:rsidRPr="003C6AFC">
        <w:rPr>
          <w:sz w:val="24"/>
        </w:rPr>
        <w:t>e</w:t>
      </w:r>
      <w:r w:rsidR="00EA6DAF" w:rsidRPr="003C6AFC">
        <w:rPr>
          <w:sz w:val="24"/>
        </w:rPr>
        <w:t xml:space="preserve"> </w:t>
      </w:r>
      <w:r w:rsidRPr="003C6AFC">
        <w:rPr>
          <w:sz w:val="24"/>
        </w:rPr>
        <w:t>a</w:t>
      </w:r>
      <w:r w:rsidR="00241631">
        <w:rPr>
          <w:bCs/>
          <w:sz w:val="24"/>
        </w:rPr>
        <w:t xml:space="preserve">lt sektörler </w:t>
      </w:r>
      <w:r w:rsidR="0062420D">
        <w:rPr>
          <w:bCs/>
          <w:sz w:val="24"/>
        </w:rPr>
        <w:t xml:space="preserve">ve geçen yılın aynı dönemine göre değişim puanları </w:t>
      </w:r>
      <w:r w:rsidR="00241631">
        <w:rPr>
          <w:bCs/>
          <w:sz w:val="24"/>
        </w:rPr>
        <w:t>itibarıyla</w:t>
      </w:r>
      <w:r w:rsidRPr="003C6AFC">
        <w:rPr>
          <w:bCs/>
          <w:sz w:val="24"/>
        </w:rPr>
        <w:t xml:space="preserve"> bakıldığında</w:t>
      </w:r>
      <w:r w:rsidR="00241631">
        <w:rPr>
          <w:bCs/>
          <w:sz w:val="24"/>
        </w:rPr>
        <w:t>,</w:t>
      </w:r>
      <w:r w:rsidR="00D4226A">
        <w:rPr>
          <w:bCs/>
          <w:sz w:val="24"/>
        </w:rPr>
        <w:t xml:space="preserve"> </w:t>
      </w:r>
      <w:r w:rsidR="00B968AD">
        <w:rPr>
          <w:bCs/>
          <w:sz w:val="24"/>
        </w:rPr>
        <w:t>Nisan</w:t>
      </w:r>
      <w:r w:rsidR="000D4590">
        <w:rPr>
          <w:bCs/>
          <w:sz w:val="24"/>
        </w:rPr>
        <w:t xml:space="preserve"> 2016’da</w:t>
      </w:r>
      <w:r w:rsidR="009B12A5" w:rsidRPr="003C6AFC">
        <w:rPr>
          <w:bCs/>
          <w:sz w:val="24"/>
        </w:rPr>
        <w:t xml:space="preserve"> </w:t>
      </w:r>
      <w:r w:rsidR="000B2D52">
        <w:rPr>
          <w:bCs/>
          <w:sz w:val="24"/>
        </w:rPr>
        <w:t>en fazla artış “</w:t>
      </w:r>
      <w:r w:rsidR="00731D77">
        <w:rPr>
          <w:bCs/>
          <w:sz w:val="24"/>
        </w:rPr>
        <w:t>ara malları</w:t>
      </w:r>
      <w:r w:rsidR="001325FD">
        <w:rPr>
          <w:bCs/>
          <w:sz w:val="24"/>
        </w:rPr>
        <w:t>”</w:t>
      </w:r>
      <w:r w:rsidR="000B2D52">
        <w:rPr>
          <w:bCs/>
          <w:sz w:val="24"/>
        </w:rPr>
        <w:t xml:space="preserve"> sektörün</w:t>
      </w:r>
      <w:r w:rsidR="000D4590">
        <w:rPr>
          <w:bCs/>
          <w:sz w:val="24"/>
        </w:rPr>
        <w:t>de oldu. Bu sektörü “</w:t>
      </w:r>
      <w:r w:rsidR="001325FD">
        <w:rPr>
          <w:bCs/>
          <w:sz w:val="24"/>
        </w:rPr>
        <w:t xml:space="preserve">gıda ve içecek </w:t>
      </w:r>
      <w:r w:rsidR="00B968AD">
        <w:rPr>
          <w:bCs/>
          <w:sz w:val="24"/>
        </w:rPr>
        <w:t>sanayi</w:t>
      </w:r>
      <w:r w:rsidR="000D4590">
        <w:rPr>
          <w:bCs/>
          <w:sz w:val="24"/>
        </w:rPr>
        <w:t>”</w:t>
      </w:r>
      <w:r w:rsidR="001325FD">
        <w:rPr>
          <w:bCs/>
          <w:sz w:val="24"/>
        </w:rPr>
        <w:t xml:space="preserve"> </w:t>
      </w:r>
      <w:r w:rsidR="000B2D52">
        <w:rPr>
          <w:bCs/>
          <w:sz w:val="24"/>
        </w:rPr>
        <w:t>sektörü takip etti.</w:t>
      </w:r>
      <w:r w:rsidR="002366AF">
        <w:rPr>
          <w:bCs/>
          <w:sz w:val="24"/>
        </w:rPr>
        <w:t xml:space="preserve"> </w:t>
      </w:r>
      <w:r w:rsidR="000D4590">
        <w:rPr>
          <w:bCs/>
          <w:sz w:val="24"/>
        </w:rPr>
        <w:t>Bu sektörlerde geçen yılın aynı dönemine göre artış yaşanmıştır</w:t>
      </w:r>
      <w:r w:rsidR="000B2D52">
        <w:rPr>
          <w:bCs/>
          <w:sz w:val="24"/>
        </w:rPr>
        <w:t>.</w:t>
      </w:r>
      <w:r w:rsidR="006F429D">
        <w:rPr>
          <w:bCs/>
          <w:sz w:val="24"/>
        </w:rPr>
        <w:t xml:space="preserve"> </w:t>
      </w:r>
      <w:r w:rsidR="00B968AD">
        <w:rPr>
          <w:bCs/>
          <w:sz w:val="24"/>
        </w:rPr>
        <w:t>“Yatırım malları”, “d</w:t>
      </w:r>
      <w:r w:rsidR="00731D77">
        <w:rPr>
          <w:bCs/>
          <w:sz w:val="24"/>
        </w:rPr>
        <w:t xml:space="preserve">ayanıksız tüketim malları”, </w:t>
      </w:r>
      <w:r w:rsidR="00AD24D7">
        <w:rPr>
          <w:bCs/>
          <w:sz w:val="24"/>
        </w:rPr>
        <w:t>“</w:t>
      </w:r>
      <w:r w:rsidR="00B968AD">
        <w:rPr>
          <w:bCs/>
          <w:sz w:val="24"/>
        </w:rPr>
        <w:t>tüketim</w:t>
      </w:r>
      <w:r w:rsidR="001325FD">
        <w:rPr>
          <w:bCs/>
          <w:sz w:val="24"/>
        </w:rPr>
        <w:t xml:space="preserve"> malları</w:t>
      </w:r>
      <w:r w:rsidR="00731D77">
        <w:rPr>
          <w:bCs/>
          <w:sz w:val="24"/>
        </w:rPr>
        <w:t>”, “</w:t>
      </w:r>
      <w:r w:rsidR="00B968AD">
        <w:rPr>
          <w:bCs/>
          <w:sz w:val="24"/>
        </w:rPr>
        <w:t xml:space="preserve">dayanıklı </w:t>
      </w:r>
      <w:r w:rsidR="00AD24D7">
        <w:rPr>
          <w:bCs/>
          <w:sz w:val="24"/>
        </w:rPr>
        <w:t>tüketim malla</w:t>
      </w:r>
      <w:r w:rsidR="00731D77">
        <w:rPr>
          <w:bCs/>
          <w:sz w:val="24"/>
        </w:rPr>
        <w:t>rı</w:t>
      </w:r>
      <w:r w:rsidR="00B968AD">
        <w:rPr>
          <w:bCs/>
          <w:sz w:val="24"/>
        </w:rPr>
        <w:t>”</w:t>
      </w:r>
      <w:r w:rsidR="00731D77">
        <w:rPr>
          <w:bCs/>
          <w:sz w:val="24"/>
        </w:rPr>
        <w:t xml:space="preserve"> ve ”</w:t>
      </w:r>
      <w:r w:rsidR="00B968AD">
        <w:rPr>
          <w:bCs/>
          <w:sz w:val="24"/>
        </w:rPr>
        <w:t>gıda ve içecek hariç dayanıksız</w:t>
      </w:r>
      <w:r w:rsidR="00731D77">
        <w:rPr>
          <w:bCs/>
          <w:sz w:val="24"/>
        </w:rPr>
        <w:t xml:space="preserve"> tüketim malları ”</w:t>
      </w:r>
      <w:r w:rsidR="00AD24D7">
        <w:rPr>
          <w:bCs/>
          <w:sz w:val="24"/>
        </w:rPr>
        <w:t xml:space="preserve"> sektörlerinde ise düşüş yaş</w:t>
      </w:r>
      <w:r w:rsidR="000D4590">
        <w:rPr>
          <w:bCs/>
          <w:sz w:val="24"/>
        </w:rPr>
        <w:t>anmıştır. “</w:t>
      </w:r>
      <w:r w:rsidR="00B968AD">
        <w:rPr>
          <w:bCs/>
          <w:sz w:val="24"/>
        </w:rPr>
        <w:t>Gıda ve içecek hariç dayanıksız tüketim malları</w:t>
      </w:r>
      <w:r w:rsidR="00AD24D7">
        <w:rPr>
          <w:bCs/>
          <w:sz w:val="24"/>
        </w:rPr>
        <w:t>” sektörü,</w:t>
      </w:r>
      <w:r w:rsidR="006F429D">
        <w:rPr>
          <w:bCs/>
          <w:sz w:val="24"/>
        </w:rPr>
        <w:t xml:space="preserve"> endeks değeri geçen yıla göre en fazla azalan sektör olmuştur.</w:t>
      </w:r>
    </w:p>
    <w:p w:rsidR="00AC0CD1" w:rsidRDefault="006802D9" w:rsidP="006802D9">
      <w:pPr>
        <w:tabs>
          <w:tab w:val="left" w:pos="8258"/>
        </w:tabs>
        <w:spacing w:after="0"/>
        <w:jc w:val="both"/>
      </w:pPr>
      <w:r w:rsidRPr="00B968AD">
        <w:rPr>
          <w:b/>
        </w:rPr>
        <w:t>Şekil-</w:t>
      </w:r>
      <w:r w:rsidR="00335ABD" w:rsidRPr="00B968AD">
        <w:rPr>
          <w:b/>
        </w:rPr>
        <w:t>3</w:t>
      </w:r>
      <w:r w:rsidRPr="00B968AD">
        <w:rPr>
          <w:b/>
        </w:rPr>
        <w:t>.</w:t>
      </w:r>
      <w:r w:rsidRPr="003127E7">
        <w:t xml:space="preserve"> </w:t>
      </w:r>
      <w:r w:rsidR="009A53E1" w:rsidRPr="007F7A5F">
        <w:t xml:space="preserve">Alt sektör bazında </w:t>
      </w:r>
      <w:r w:rsidR="009A53E1">
        <w:t>İmalat Sanayi Güven Endeksi’nin</w:t>
      </w:r>
      <w:r w:rsidR="009A53E1" w:rsidRPr="007F7A5F">
        <w:t xml:space="preserve"> </w:t>
      </w:r>
      <w:r w:rsidR="009A53E1">
        <w:t>geçen</w:t>
      </w:r>
      <w:r w:rsidR="009A53E1" w:rsidRPr="007F7A5F">
        <w:t xml:space="preserve"> yılın aynı dönemine göre değişimi </w:t>
      </w:r>
      <w:r>
        <w:t>(</w:t>
      </w:r>
      <w:r w:rsidR="00561700">
        <w:t>Nisan</w:t>
      </w:r>
      <w:r w:rsidR="000D4590">
        <w:t xml:space="preserve"> 2016</w:t>
      </w:r>
      <w:r>
        <w:t>)</w:t>
      </w:r>
    </w:p>
    <w:p w:rsidR="00164168" w:rsidRDefault="00561700" w:rsidP="006802D9">
      <w:pPr>
        <w:tabs>
          <w:tab w:val="left" w:pos="8258"/>
        </w:tabs>
        <w:spacing w:after="0"/>
        <w:jc w:val="both"/>
      </w:pPr>
      <w:r>
        <w:rPr>
          <w:noProof/>
        </w:rPr>
        <w:drawing>
          <wp:inline distT="0" distB="0" distL="0" distR="0" wp14:anchorId="6649C723" wp14:editId="55BE0AF1">
            <wp:extent cx="5759450" cy="3213100"/>
            <wp:effectExtent l="0" t="0" r="12700" b="2540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02D9" w:rsidRDefault="009A53E1" w:rsidP="006802D9">
      <w:pPr>
        <w:tabs>
          <w:tab w:val="left" w:pos="8258"/>
        </w:tabs>
        <w:spacing w:after="0"/>
        <w:jc w:val="both"/>
      </w:pPr>
      <w:r>
        <w:t xml:space="preserve"> </w:t>
      </w:r>
    </w:p>
    <w:p w:rsidR="00AC0CD1" w:rsidRDefault="00AC0CD1" w:rsidP="006802D9">
      <w:pPr>
        <w:tabs>
          <w:tab w:val="left" w:pos="8258"/>
        </w:tabs>
        <w:spacing w:after="0"/>
        <w:jc w:val="both"/>
      </w:pPr>
    </w:p>
    <w:p w:rsidR="00AC0CD1" w:rsidRDefault="00AC0CD1" w:rsidP="006802D9">
      <w:pPr>
        <w:tabs>
          <w:tab w:val="left" w:pos="8258"/>
        </w:tabs>
        <w:spacing w:after="0"/>
        <w:jc w:val="both"/>
      </w:pPr>
    </w:p>
    <w:p w:rsidR="00D37EC7" w:rsidRDefault="00D37EC7" w:rsidP="006802D9">
      <w:pPr>
        <w:tabs>
          <w:tab w:val="left" w:pos="8258"/>
        </w:tabs>
        <w:spacing w:after="0"/>
        <w:jc w:val="both"/>
      </w:pPr>
    </w:p>
    <w:p w:rsidR="000F65CE" w:rsidRDefault="000F65CE" w:rsidP="006802D9">
      <w:pPr>
        <w:tabs>
          <w:tab w:val="left" w:pos="8258"/>
        </w:tabs>
        <w:spacing w:after="0"/>
        <w:jc w:val="both"/>
      </w:pPr>
    </w:p>
    <w:p w:rsidR="00202408" w:rsidRPr="00202408" w:rsidRDefault="00202408" w:rsidP="00202408">
      <w:pPr>
        <w:tabs>
          <w:tab w:val="left" w:pos="8258"/>
        </w:tabs>
        <w:spacing w:after="0"/>
        <w:jc w:val="both"/>
      </w:pPr>
    </w:p>
    <w:p w:rsidR="00202408" w:rsidRDefault="00202408" w:rsidP="0051573F">
      <w:pPr>
        <w:pStyle w:val="Balk2"/>
        <w:spacing w:before="0" w:after="240" w:line="240" w:lineRule="auto"/>
        <w:jc w:val="both"/>
        <w:rPr>
          <w:rFonts w:asciiTheme="minorHAnsi" w:eastAsiaTheme="minorHAnsi" w:hAnsiTheme="minorHAnsi" w:cstheme="minorBidi"/>
          <w:b w:val="0"/>
          <w:bCs w:val="0"/>
          <w:color w:val="auto"/>
          <w:sz w:val="22"/>
          <w:szCs w:val="22"/>
        </w:rPr>
      </w:pPr>
    </w:p>
    <w:p w:rsidR="004B70F5" w:rsidRDefault="004B70F5" w:rsidP="004B70F5"/>
    <w:p w:rsidR="004B70F5" w:rsidRDefault="004B70F5" w:rsidP="004B70F5"/>
    <w:p w:rsidR="004B70F5" w:rsidRDefault="004B70F5" w:rsidP="004B70F5"/>
    <w:p w:rsidR="004B70F5" w:rsidRDefault="004B70F5" w:rsidP="004B70F5"/>
    <w:p w:rsidR="004B70F5" w:rsidRDefault="004B70F5" w:rsidP="004B70F5"/>
    <w:p w:rsidR="00964226" w:rsidRPr="0051573F" w:rsidRDefault="00964226" w:rsidP="0051573F">
      <w:pPr>
        <w:pStyle w:val="Balk2"/>
        <w:spacing w:before="0" w:after="240" w:line="240" w:lineRule="auto"/>
        <w:jc w:val="both"/>
        <w:rPr>
          <w:rFonts w:asciiTheme="minorHAnsi" w:hAnsiTheme="minorHAnsi" w:cs="Arial"/>
          <w:color w:val="595959" w:themeColor="text1" w:themeTint="A6"/>
          <w:sz w:val="28"/>
        </w:rPr>
      </w:pPr>
      <w:r w:rsidRPr="0051573F">
        <w:rPr>
          <w:rFonts w:asciiTheme="minorHAnsi" w:hAnsiTheme="minorHAnsi" w:cs="Arial"/>
          <w:color w:val="595959" w:themeColor="text1" w:themeTint="A6"/>
          <w:sz w:val="28"/>
        </w:rPr>
        <w:lastRenderedPageBreak/>
        <w:t>Konya</w:t>
      </w:r>
      <w:r w:rsidR="009B4A64">
        <w:rPr>
          <w:rFonts w:asciiTheme="minorHAnsi" w:hAnsiTheme="minorHAnsi" w:cs="Arial"/>
          <w:color w:val="595959" w:themeColor="text1" w:themeTint="A6"/>
          <w:sz w:val="28"/>
        </w:rPr>
        <w:t xml:space="preserve"> imalat sanayi</w:t>
      </w:r>
      <w:r w:rsidR="00406F84">
        <w:rPr>
          <w:rFonts w:asciiTheme="minorHAnsi" w:hAnsiTheme="minorHAnsi" w:cs="Arial"/>
          <w:color w:val="595959" w:themeColor="text1" w:themeTint="A6"/>
          <w:sz w:val="28"/>
        </w:rPr>
        <w:t>n</w:t>
      </w:r>
      <w:r w:rsidR="009B4A64">
        <w:rPr>
          <w:rFonts w:asciiTheme="minorHAnsi" w:hAnsiTheme="minorHAnsi" w:cs="Arial"/>
          <w:color w:val="595959" w:themeColor="text1" w:themeTint="A6"/>
          <w:sz w:val="28"/>
        </w:rPr>
        <w:t>de</w:t>
      </w:r>
      <w:r w:rsidR="003E5248">
        <w:rPr>
          <w:rFonts w:asciiTheme="minorHAnsi" w:hAnsiTheme="minorHAnsi" w:cs="Arial"/>
          <w:color w:val="595959" w:themeColor="text1" w:themeTint="A6"/>
          <w:sz w:val="28"/>
        </w:rPr>
        <w:t xml:space="preserve"> </w:t>
      </w:r>
      <w:r w:rsidR="009B4A64">
        <w:rPr>
          <w:rFonts w:asciiTheme="minorHAnsi" w:hAnsiTheme="minorHAnsi" w:cs="Arial"/>
          <w:color w:val="595959" w:themeColor="text1" w:themeTint="A6"/>
          <w:sz w:val="28"/>
        </w:rPr>
        <w:t xml:space="preserve">geçtiğimiz 3 aya göre üretim </w:t>
      </w:r>
      <w:r w:rsidR="00E736F5">
        <w:rPr>
          <w:rFonts w:asciiTheme="minorHAnsi" w:hAnsiTheme="minorHAnsi" w:cs="Arial"/>
          <w:color w:val="595959" w:themeColor="text1" w:themeTint="A6"/>
          <w:sz w:val="28"/>
        </w:rPr>
        <w:t>arttı</w:t>
      </w:r>
      <w:r w:rsidRPr="0051573F">
        <w:rPr>
          <w:rFonts w:asciiTheme="minorHAnsi" w:hAnsiTheme="minorHAnsi" w:cs="Arial"/>
          <w:color w:val="595959" w:themeColor="text1" w:themeTint="A6"/>
          <w:sz w:val="28"/>
        </w:rPr>
        <w:t>:</w:t>
      </w:r>
    </w:p>
    <w:p w:rsidR="00EA35C4" w:rsidRPr="00AD6DA4" w:rsidRDefault="00B968AD" w:rsidP="00964226">
      <w:pPr>
        <w:spacing w:after="240"/>
        <w:jc w:val="both"/>
        <w:rPr>
          <w:bCs/>
          <w:sz w:val="24"/>
        </w:rPr>
      </w:pPr>
      <w:r>
        <w:rPr>
          <w:bCs/>
          <w:sz w:val="24"/>
        </w:rPr>
        <w:t>Nisan</w:t>
      </w:r>
      <w:r w:rsidR="00F25D34">
        <w:rPr>
          <w:bCs/>
          <w:sz w:val="24"/>
        </w:rPr>
        <w:t xml:space="preserve"> </w:t>
      </w:r>
      <w:r w:rsidR="00FC4042">
        <w:rPr>
          <w:bCs/>
          <w:sz w:val="24"/>
        </w:rPr>
        <w:t>2016’da</w:t>
      </w:r>
      <w:r w:rsidR="00964226">
        <w:rPr>
          <w:bCs/>
          <w:sz w:val="24"/>
        </w:rPr>
        <w:t xml:space="preserve"> Konya’da imalat sanayi</w:t>
      </w:r>
      <w:r w:rsidR="00B84529">
        <w:rPr>
          <w:bCs/>
          <w:sz w:val="24"/>
        </w:rPr>
        <w:t>n</w:t>
      </w:r>
      <w:r w:rsidR="00964226">
        <w:rPr>
          <w:bCs/>
          <w:sz w:val="24"/>
        </w:rPr>
        <w:t>de f</w:t>
      </w:r>
      <w:r w:rsidR="003E5248">
        <w:rPr>
          <w:bCs/>
          <w:sz w:val="24"/>
        </w:rPr>
        <w:t xml:space="preserve">aaliyet gösterenlerin yüzde </w:t>
      </w:r>
      <w:r>
        <w:rPr>
          <w:bCs/>
          <w:sz w:val="24"/>
        </w:rPr>
        <w:t>12</w:t>
      </w:r>
      <w:r w:rsidR="008D5D4F">
        <w:rPr>
          <w:bCs/>
          <w:sz w:val="24"/>
        </w:rPr>
        <w:t>’</w:t>
      </w:r>
      <w:r>
        <w:rPr>
          <w:bCs/>
          <w:sz w:val="24"/>
        </w:rPr>
        <w:t>si</w:t>
      </w:r>
      <w:r w:rsidR="00964226">
        <w:rPr>
          <w:bCs/>
          <w:sz w:val="24"/>
        </w:rPr>
        <w:t xml:space="preserve"> geçtiğimiz 3 aya göre üretim</w:t>
      </w:r>
      <w:r w:rsidR="003825F4">
        <w:rPr>
          <w:bCs/>
          <w:sz w:val="24"/>
        </w:rPr>
        <w:t>lerin</w:t>
      </w:r>
      <w:r w:rsidR="00964226">
        <w:rPr>
          <w:bCs/>
          <w:sz w:val="24"/>
        </w:rPr>
        <w:t xml:space="preserve">in </w:t>
      </w:r>
      <w:r w:rsidR="003E5248">
        <w:rPr>
          <w:bCs/>
          <w:sz w:val="24"/>
        </w:rPr>
        <w:t>ar</w:t>
      </w:r>
      <w:r w:rsidR="00467AEB">
        <w:rPr>
          <w:bCs/>
          <w:sz w:val="24"/>
        </w:rPr>
        <w:t>t</w:t>
      </w:r>
      <w:r w:rsidR="003B089F">
        <w:rPr>
          <w:bCs/>
          <w:sz w:val="24"/>
        </w:rPr>
        <w:t xml:space="preserve">tığını ifade ederken, </w:t>
      </w:r>
      <w:r w:rsidR="00964226">
        <w:rPr>
          <w:bCs/>
          <w:sz w:val="24"/>
        </w:rPr>
        <w:t xml:space="preserve">önümüzdeki 3 ayda üretimlerinin </w:t>
      </w:r>
      <w:r w:rsidR="003E5248">
        <w:rPr>
          <w:bCs/>
          <w:sz w:val="24"/>
        </w:rPr>
        <w:t>artacağını</w:t>
      </w:r>
      <w:r w:rsidR="009B4A64">
        <w:rPr>
          <w:bCs/>
          <w:sz w:val="24"/>
        </w:rPr>
        <w:t xml:space="preserve"> </w:t>
      </w:r>
      <w:r w:rsidR="0062652F">
        <w:rPr>
          <w:bCs/>
          <w:sz w:val="24"/>
        </w:rPr>
        <w:t xml:space="preserve">belirtenlerin </w:t>
      </w:r>
      <w:r>
        <w:rPr>
          <w:bCs/>
          <w:sz w:val="24"/>
        </w:rPr>
        <w:t>oranı yüzde 57</w:t>
      </w:r>
      <w:r w:rsidR="003825F4">
        <w:rPr>
          <w:bCs/>
          <w:sz w:val="24"/>
        </w:rPr>
        <w:t xml:space="preserve"> olmuştur.</w:t>
      </w:r>
      <w:r w:rsidR="00836DEB">
        <w:rPr>
          <w:bCs/>
          <w:sz w:val="24"/>
        </w:rPr>
        <w:t xml:space="preserve"> </w:t>
      </w:r>
      <w:r w:rsidR="009B4A64">
        <w:rPr>
          <w:bCs/>
          <w:sz w:val="24"/>
        </w:rPr>
        <w:t>Konya’da imalat sanayi</w:t>
      </w:r>
      <w:r w:rsidR="00F25D34">
        <w:rPr>
          <w:bCs/>
          <w:sz w:val="24"/>
        </w:rPr>
        <w:t>n</w:t>
      </w:r>
      <w:r w:rsidR="009B4A64">
        <w:rPr>
          <w:bCs/>
          <w:sz w:val="24"/>
        </w:rPr>
        <w:t>de</w:t>
      </w:r>
      <w:r w:rsidR="007C0237">
        <w:rPr>
          <w:bCs/>
          <w:sz w:val="24"/>
        </w:rPr>
        <w:t xml:space="preserve"> f</w:t>
      </w:r>
      <w:r w:rsidR="009B12A5">
        <w:rPr>
          <w:bCs/>
          <w:sz w:val="24"/>
        </w:rPr>
        <w:t xml:space="preserve">aaliyet </w:t>
      </w:r>
      <w:r w:rsidR="003B089F">
        <w:rPr>
          <w:bCs/>
          <w:sz w:val="24"/>
        </w:rPr>
        <w:t xml:space="preserve">gösterenlerin yüzde </w:t>
      </w:r>
      <w:r>
        <w:rPr>
          <w:bCs/>
          <w:sz w:val="24"/>
        </w:rPr>
        <w:t>30</w:t>
      </w:r>
      <w:r w:rsidR="00845A08">
        <w:rPr>
          <w:bCs/>
          <w:sz w:val="24"/>
        </w:rPr>
        <w:t>,7</w:t>
      </w:r>
      <w:r w:rsidR="003B089F">
        <w:rPr>
          <w:bCs/>
          <w:sz w:val="24"/>
        </w:rPr>
        <w:t>’</w:t>
      </w:r>
      <w:r w:rsidR="00BE518F">
        <w:rPr>
          <w:bCs/>
          <w:sz w:val="24"/>
        </w:rPr>
        <w:t>s</w:t>
      </w:r>
      <w:r w:rsidR="00845A08">
        <w:rPr>
          <w:bCs/>
          <w:sz w:val="24"/>
        </w:rPr>
        <w:t>i</w:t>
      </w:r>
      <w:r w:rsidR="009B4A64">
        <w:rPr>
          <w:bCs/>
          <w:sz w:val="24"/>
        </w:rPr>
        <w:t xml:space="preserve"> mevcut stok düzeyinin sezon için normal olduğunu ifade etmiştir.</w:t>
      </w:r>
    </w:p>
    <w:p w:rsidR="007A6A86" w:rsidRDefault="00885D5E" w:rsidP="00885D5E">
      <w:pPr>
        <w:tabs>
          <w:tab w:val="left" w:pos="8258"/>
        </w:tabs>
        <w:spacing w:after="0"/>
        <w:jc w:val="both"/>
      </w:pPr>
      <w:r w:rsidRPr="003127E7">
        <w:rPr>
          <w:b/>
        </w:rPr>
        <w:t>Şekil-</w:t>
      </w:r>
      <w:r w:rsidR="00335ABD">
        <w:rPr>
          <w:b/>
        </w:rPr>
        <w:t>4</w:t>
      </w:r>
      <w:r w:rsidRPr="003127E7">
        <w:rPr>
          <w:b/>
        </w:rPr>
        <w:t>.</w:t>
      </w:r>
      <w:r w:rsidRPr="003127E7">
        <w:t xml:space="preserve"> </w:t>
      </w:r>
      <w:r w:rsidR="00102D6A">
        <w:t>Konya’da ü</w:t>
      </w:r>
      <w:r>
        <w:t xml:space="preserve">retim ve stok durumu </w:t>
      </w:r>
      <w:r w:rsidR="00717008">
        <w:t xml:space="preserve">(%) </w:t>
      </w:r>
      <w:r>
        <w:t>(</w:t>
      </w:r>
      <w:r w:rsidR="00B968AD">
        <w:t>Nisan</w:t>
      </w:r>
      <w:r w:rsidR="00CC6FBE">
        <w:t xml:space="preserve"> 2016</w:t>
      </w:r>
      <w:r>
        <w:t>)</w:t>
      </w:r>
    </w:p>
    <w:p w:rsidR="007652B6" w:rsidRDefault="00B968AD" w:rsidP="00885D5E">
      <w:pPr>
        <w:tabs>
          <w:tab w:val="left" w:pos="8258"/>
        </w:tabs>
        <w:spacing w:after="0"/>
        <w:jc w:val="both"/>
      </w:pPr>
      <w:r>
        <w:rPr>
          <w:noProof/>
        </w:rPr>
        <w:drawing>
          <wp:inline distT="0" distB="0" distL="0" distR="0" wp14:anchorId="1FD521C0" wp14:editId="47A991D2">
            <wp:extent cx="5760720" cy="2108058"/>
            <wp:effectExtent l="0" t="0" r="11430" b="26035"/>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10795" w:rsidRDefault="00010795" w:rsidP="00010795">
      <w:pPr>
        <w:tabs>
          <w:tab w:val="left" w:pos="8258"/>
        </w:tabs>
        <w:spacing w:after="0"/>
        <w:jc w:val="both"/>
      </w:pPr>
    </w:p>
    <w:p w:rsidR="00147DF5" w:rsidRDefault="006E0D17" w:rsidP="005F14B5">
      <w:pPr>
        <w:tabs>
          <w:tab w:val="left" w:pos="8258"/>
        </w:tabs>
        <w:spacing w:after="0"/>
        <w:jc w:val="both"/>
        <w:rPr>
          <w:b/>
        </w:rPr>
      </w:pPr>
      <w:r>
        <w:rPr>
          <w:bCs/>
          <w:sz w:val="24"/>
        </w:rPr>
        <w:t>Konya’da</w:t>
      </w:r>
      <w:r w:rsidR="00FC4042">
        <w:rPr>
          <w:bCs/>
          <w:sz w:val="24"/>
        </w:rPr>
        <w:t>,</w:t>
      </w:r>
      <w:r>
        <w:rPr>
          <w:bCs/>
          <w:sz w:val="24"/>
        </w:rPr>
        <w:t xml:space="preserve"> </w:t>
      </w:r>
      <w:r w:rsidR="00527B56">
        <w:rPr>
          <w:bCs/>
          <w:sz w:val="24"/>
        </w:rPr>
        <w:t>son 3 aydır</w:t>
      </w:r>
      <w:r w:rsidR="006B3471">
        <w:rPr>
          <w:bCs/>
          <w:sz w:val="24"/>
        </w:rPr>
        <w:t xml:space="preserve"> düş</w:t>
      </w:r>
      <w:r w:rsidR="00552014">
        <w:rPr>
          <w:bCs/>
          <w:sz w:val="24"/>
        </w:rPr>
        <w:t>en</w:t>
      </w:r>
      <w:r w:rsidR="005D7B59">
        <w:rPr>
          <w:bCs/>
          <w:sz w:val="24"/>
        </w:rPr>
        <w:t xml:space="preserve"> </w:t>
      </w:r>
      <w:r w:rsidR="00C970A8">
        <w:rPr>
          <w:bCs/>
          <w:sz w:val="24"/>
        </w:rPr>
        <w:t>“</w:t>
      </w:r>
      <w:r w:rsidR="005D7B59">
        <w:rPr>
          <w:bCs/>
          <w:sz w:val="24"/>
        </w:rPr>
        <w:t>geçtiğimiz 3 aya göre üretim</w:t>
      </w:r>
      <w:r w:rsidR="00C970A8">
        <w:rPr>
          <w:bCs/>
          <w:sz w:val="24"/>
        </w:rPr>
        <w:t>”</w:t>
      </w:r>
      <w:r w:rsidR="005D7B59">
        <w:rPr>
          <w:bCs/>
          <w:sz w:val="24"/>
        </w:rPr>
        <w:t xml:space="preserve"> </w:t>
      </w:r>
      <w:r w:rsidR="00B968AD">
        <w:rPr>
          <w:bCs/>
          <w:sz w:val="24"/>
        </w:rPr>
        <w:t>Nisan</w:t>
      </w:r>
      <w:r w:rsidR="00FC4042">
        <w:rPr>
          <w:bCs/>
          <w:sz w:val="24"/>
        </w:rPr>
        <w:t xml:space="preserve"> 2016’da </w:t>
      </w:r>
      <w:r w:rsidR="00B968AD">
        <w:rPr>
          <w:bCs/>
          <w:sz w:val="24"/>
        </w:rPr>
        <w:t>yükseldi</w:t>
      </w:r>
      <w:r w:rsidR="009B12A5">
        <w:rPr>
          <w:bCs/>
          <w:sz w:val="24"/>
        </w:rPr>
        <w:t xml:space="preserve">. </w:t>
      </w:r>
      <w:r w:rsidR="000B5195">
        <w:rPr>
          <w:bCs/>
          <w:sz w:val="24"/>
        </w:rPr>
        <w:t>Konya’da</w:t>
      </w:r>
      <w:r>
        <w:rPr>
          <w:bCs/>
          <w:sz w:val="24"/>
        </w:rPr>
        <w:t xml:space="preserve"> </w:t>
      </w:r>
      <w:r w:rsidR="00C970A8">
        <w:rPr>
          <w:bCs/>
          <w:sz w:val="24"/>
        </w:rPr>
        <w:t>“</w:t>
      </w:r>
      <w:r w:rsidR="004F32B0">
        <w:rPr>
          <w:bCs/>
          <w:sz w:val="24"/>
        </w:rPr>
        <w:t>geçtiğimiz 3 aya göre üretim</w:t>
      </w:r>
      <w:r w:rsidR="00C970A8">
        <w:rPr>
          <w:bCs/>
          <w:sz w:val="24"/>
        </w:rPr>
        <w:t>”</w:t>
      </w:r>
      <w:r>
        <w:rPr>
          <w:bCs/>
          <w:sz w:val="24"/>
        </w:rPr>
        <w:t xml:space="preserve"> </w:t>
      </w:r>
      <w:r w:rsidR="000B5195">
        <w:rPr>
          <w:bCs/>
          <w:sz w:val="24"/>
        </w:rPr>
        <w:t xml:space="preserve">Türkiye’den </w:t>
      </w:r>
      <w:r w:rsidR="004E4859">
        <w:rPr>
          <w:bCs/>
          <w:sz w:val="24"/>
        </w:rPr>
        <w:t xml:space="preserve">ve AB’den </w:t>
      </w:r>
      <w:r w:rsidR="000B5195">
        <w:rPr>
          <w:bCs/>
          <w:sz w:val="24"/>
        </w:rPr>
        <w:t>daha düşük değer aldı.</w:t>
      </w:r>
    </w:p>
    <w:p w:rsidR="00147DF5" w:rsidRDefault="00147DF5" w:rsidP="005F14B5">
      <w:pPr>
        <w:tabs>
          <w:tab w:val="left" w:pos="8258"/>
        </w:tabs>
        <w:spacing w:after="0"/>
        <w:jc w:val="both"/>
        <w:rPr>
          <w:b/>
        </w:rPr>
      </w:pPr>
    </w:p>
    <w:p w:rsidR="005F14B5" w:rsidRDefault="005F14B5" w:rsidP="005F14B5">
      <w:pPr>
        <w:tabs>
          <w:tab w:val="left" w:pos="8258"/>
        </w:tabs>
        <w:spacing w:after="0"/>
        <w:jc w:val="both"/>
      </w:pPr>
      <w:r w:rsidRPr="003127E7">
        <w:rPr>
          <w:b/>
        </w:rPr>
        <w:t>Şekil-</w:t>
      </w:r>
      <w:r w:rsidR="00335ABD">
        <w:rPr>
          <w:b/>
        </w:rPr>
        <w:t>5</w:t>
      </w:r>
      <w:r w:rsidRPr="003127E7">
        <w:rPr>
          <w:b/>
        </w:rPr>
        <w:t>.</w:t>
      </w:r>
      <w:r w:rsidRPr="003127E7">
        <w:t xml:space="preserve"> </w:t>
      </w:r>
      <w:r>
        <w:t>Geçtiğimiz 3 aya göre üretim</w:t>
      </w:r>
      <w:r w:rsidR="0000109B">
        <w:t xml:space="preserve"> durumu</w:t>
      </w:r>
      <w:r>
        <w:t>*</w:t>
      </w:r>
      <w:r w:rsidR="0000109B" w:rsidRPr="00662EBC">
        <w:t>(%arttı – %azaldı)</w:t>
      </w:r>
      <w:r w:rsidRPr="003127E7">
        <w:t xml:space="preserve"> (</w:t>
      </w:r>
      <w:r w:rsidR="00B968AD">
        <w:t>Nisan</w:t>
      </w:r>
      <w:r w:rsidR="00FC4042">
        <w:t xml:space="preserve"> 2015</w:t>
      </w:r>
      <w:r w:rsidRPr="003127E7">
        <w:t xml:space="preserve"> – </w:t>
      </w:r>
      <w:r w:rsidR="00B968AD">
        <w:t>Nisan</w:t>
      </w:r>
      <w:r w:rsidR="00FC4042">
        <w:t xml:space="preserve"> 2016</w:t>
      </w:r>
      <w:r w:rsidRPr="003127E7">
        <w:t>)</w:t>
      </w:r>
    </w:p>
    <w:p w:rsidR="00723B06" w:rsidRDefault="00B968AD" w:rsidP="005F14B5">
      <w:pPr>
        <w:tabs>
          <w:tab w:val="left" w:pos="8258"/>
        </w:tabs>
        <w:spacing w:after="0"/>
        <w:jc w:val="both"/>
      </w:pPr>
      <w:r>
        <w:rPr>
          <w:noProof/>
        </w:rPr>
        <w:drawing>
          <wp:inline distT="0" distB="0" distL="0" distR="0" wp14:anchorId="6A204222" wp14:editId="4926A795">
            <wp:extent cx="5759450" cy="2324100"/>
            <wp:effectExtent l="0" t="0" r="12700"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70F5" w:rsidRDefault="004B70F5" w:rsidP="005F14B5">
      <w:pPr>
        <w:tabs>
          <w:tab w:val="left" w:pos="8258"/>
        </w:tabs>
        <w:spacing w:after="0"/>
        <w:jc w:val="both"/>
      </w:pPr>
    </w:p>
    <w:p w:rsidR="000F65CE" w:rsidRDefault="000F65CE" w:rsidP="005F14B5">
      <w:pPr>
        <w:tabs>
          <w:tab w:val="left" w:pos="8258"/>
        </w:tabs>
        <w:spacing w:after="0"/>
        <w:jc w:val="both"/>
      </w:pPr>
    </w:p>
    <w:p w:rsidR="00853A46" w:rsidRDefault="00853A46" w:rsidP="005F14B5">
      <w:pPr>
        <w:tabs>
          <w:tab w:val="left" w:pos="8258"/>
        </w:tabs>
        <w:spacing w:after="0"/>
        <w:jc w:val="both"/>
      </w:pPr>
    </w:p>
    <w:p w:rsidR="006B3471" w:rsidRDefault="006B3471" w:rsidP="005F14B5">
      <w:pPr>
        <w:tabs>
          <w:tab w:val="left" w:pos="8258"/>
        </w:tabs>
        <w:spacing w:after="0"/>
        <w:jc w:val="both"/>
      </w:pPr>
    </w:p>
    <w:p w:rsidR="004F32B0" w:rsidRPr="0051573F" w:rsidRDefault="004F32B0" w:rsidP="004F32B0">
      <w:pPr>
        <w:pStyle w:val="Balk2"/>
        <w:spacing w:before="0" w:after="240" w:line="240" w:lineRule="auto"/>
        <w:jc w:val="both"/>
        <w:rPr>
          <w:rFonts w:asciiTheme="minorHAnsi" w:hAnsiTheme="minorHAnsi" w:cs="Arial"/>
          <w:color w:val="595959" w:themeColor="text1" w:themeTint="A6"/>
          <w:sz w:val="28"/>
        </w:rPr>
      </w:pPr>
      <w:r w:rsidRPr="0051573F">
        <w:rPr>
          <w:rFonts w:asciiTheme="minorHAnsi" w:hAnsiTheme="minorHAnsi" w:cs="Arial"/>
          <w:color w:val="595959" w:themeColor="text1" w:themeTint="A6"/>
          <w:sz w:val="28"/>
        </w:rPr>
        <w:lastRenderedPageBreak/>
        <w:t>Konya</w:t>
      </w:r>
      <w:r w:rsidR="00836526">
        <w:rPr>
          <w:rFonts w:asciiTheme="minorHAnsi" w:hAnsiTheme="minorHAnsi" w:cs="Arial"/>
          <w:color w:val="595959" w:themeColor="text1" w:themeTint="A6"/>
          <w:sz w:val="28"/>
        </w:rPr>
        <w:t xml:space="preserve"> imalat </w:t>
      </w:r>
      <w:r w:rsidR="00FE1757">
        <w:rPr>
          <w:rFonts w:asciiTheme="minorHAnsi" w:hAnsiTheme="minorHAnsi" w:cs="Arial"/>
          <w:color w:val="595959" w:themeColor="text1" w:themeTint="A6"/>
          <w:sz w:val="28"/>
        </w:rPr>
        <w:t>sanayi</w:t>
      </w:r>
      <w:r w:rsidR="00B84529">
        <w:rPr>
          <w:rFonts w:asciiTheme="minorHAnsi" w:hAnsiTheme="minorHAnsi" w:cs="Arial"/>
          <w:color w:val="595959" w:themeColor="text1" w:themeTint="A6"/>
          <w:sz w:val="28"/>
        </w:rPr>
        <w:t>n</w:t>
      </w:r>
      <w:r w:rsidR="00FE1757">
        <w:rPr>
          <w:rFonts w:asciiTheme="minorHAnsi" w:hAnsiTheme="minorHAnsi" w:cs="Arial"/>
          <w:color w:val="595959" w:themeColor="text1" w:themeTint="A6"/>
          <w:sz w:val="28"/>
        </w:rPr>
        <w:t>de önümüzdeki d</w:t>
      </w:r>
      <w:r w:rsidR="006B3471">
        <w:rPr>
          <w:rFonts w:asciiTheme="minorHAnsi" w:hAnsiTheme="minorHAnsi" w:cs="Arial"/>
          <w:color w:val="595959" w:themeColor="text1" w:themeTint="A6"/>
          <w:sz w:val="28"/>
        </w:rPr>
        <w:t xml:space="preserve">önemdeki üretim beklentisi </w:t>
      </w:r>
      <w:r w:rsidR="00982E92">
        <w:rPr>
          <w:rFonts w:asciiTheme="minorHAnsi" w:hAnsiTheme="minorHAnsi" w:cs="Arial"/>
          <w:color w:val="595959" w:themeColor="text1" w:themeTint="A6"/>
          <w:sz w:val="28"/>
        </w:rPr>
        <w:t>düştü</w:t>
      </w:r>
      <w:r w:rsidR="00FE1757">
        <w:rPr>
          <w:rFonts w:asciiTheme="minorHAnsi" w:hAnsiTheme="minorHAnsi" w:cs="Arial"/>
          <w:color w:val="595959" w:themeColor="text1" w:themeTint="A6"/>
          <w:sz w:val="28"/>
        </w:rPr>
        <w:t>:</w:t>
      </w:r>
    </w:p>
    <w:p w:rsidR="00147A0B" w:rsidRDefault="00982E92" w:rsidP="006802D9">
      <w:pPr>
        <w:tabs>
          <w:tab w:val="left" w:pos="8258"/>
        </w:tabs>
        <w:spacing w:after="0"/>
        <w:jc w:val="both"/>
      </w:pPr>
      <w:r>
        <w:rPr>
          <w:bCs/>
          <w:sz w:val="24"/>
        </w:rPr>
        <w:t xml:space="preserve">Mart </w:t>
      </w:r>
      <w:r w:rsidR="006B3471">
        <w:rPr>
          <w:bCs/>
          <w:sz w:val="24"/>
        </w:rPr>
        <w:t>2016’da</w:t>
      </w:r>
      <w:r w:rsidR="00FC4042">
        <w:rPr>
          <w:bCs/>
          <w:sz w:val="24"/>
        </w:rPr>
        <w:t xml:space="preserve"> </w:t>
      </w:r>
      <w:r w:rsidR="00243511">
        <w:rPr>
          <w:bCs/>
          <w:sz w:val="24"/>
        </w:rPr>
        <w:t>yüksel</w:t>
      </w:r>
      <w:r w:rsidR="00FD7BAD">
        <w:rPr>
          <w:bCs/>
          <w:sz w:val="24"/>
        </w:rPr>
        <w:t>en</w:t>
      </w:r>
      <w:r w:rsidR="00857A69">
        <w:rPr>
          <w:bCs/>
          <w:sz w:val="24"/>
        </w:rPr>
        <w:t xml:space="preserve"> </w:t>
      </w:r>
      <w:r w:rsidR="00C970A8">
        <w:rPr>
          <w:bCs/>
          <w:sz w:val="24"/>
        </w:rPr>
        <w:t>“</w:t>
      </w:r>
      <w:r w:rsidR="0017458D">
        <w:rPr>
          <w:bCs/>
          <w:sz w:val="24"/>
        </w:rPr>
        <w:t>ö</w:t>
      </w:r>
      <w:r w:rsidR="004F32B0">
        <w:rPr>
          <w:bCs/>
          <w:sz w:val="24"/>
        </w:rPr>
        <w:t>nümüzdeki 3 ay</w:t>
      </w:r>
      <w:r w:rsidR="005428AE">
        <w:rPr>
          <w:bCs/>
          <w:sz w:val="24"/>
        </w:rPr>
        <w:t>d</w:t>
      </w:r>
      <w:r w:rsidR="0017458D">
        <w:rPr>
          <w:bCs/>
          <w:sz w:val="24"/>
        </w:rPr>
        <w:t>aki üretim beklentisi</w:t>
      </w:r>
      <w:r w:rsidR="00C970A8">
        <w:rPr>
          <w:bCs/>
          <w:sz w:val="24"/>
        </w:rPr>
        <w:t>”</w:t>
      </w:r>
      <w:r w:rsidR="002A2AF5">
        <w:rPr>
          <w:bCs/>
          <w:sz w:val="24"/>
        </w:rPr>
        <w:t xml:space="preserve">, </w:t>
      </w:r>
      <w:r>
        <w:rPr>
          <w:bCs/>
          <w:sz w:val="24"/>
        </w:rPr>
        <w:t>Nisan</w:t>
      </w:r>
      <w:r w:rsidR="006B3471">
        <w:rPr>
          <w:bCs/>
          <w:sz w:val="24"/>
        </w:rPr>
        <w:t xml:space="preserve"> 2016’da </w:t>
      </w:r>
      <w:r>
        <w:rPr>
          <w:bCs/>
          <w:sz w:val="24"/>
        </w:rPr>
        <w:t>düştü</w:t>
      </w:r>
      <w:r w:rsidR="00C970A8">
        <w:rPr>
          <w:bCs/>
          <w:sz w:val="24"/>
        </w:rPr>
        <w:t xml:space="preserve">. </w:t>
      </w:r>
      <w:r w:rsidR="00DD162D">
        <w:rPr>
          <w:bCs/>
          <w:sz w:val="24"/>
        </w:rPr>
        <w:t xml:space="preserve">Konya’da </w:t>
      </w:r>
      <w:r w:rsidR="00C970A8">
        <w:rPr>
          <w:bCs/>
          <w:sz w:val="24"/>
        </w:rPr>
        <w:t>“</w:t>
      </w:r>
      <w:r w:rsidR="00DD162D">
        <w:rPr>
          <w:bCs/>
          <w:sz w:val="24"/>
        </w:rPr>
        <w:t>ö</w:t>
      </w:r>
      <w:r w:rsidR="00C970A8">
        <w:rPr>
          <w:bCs/>
          <w:sz w:val="24"/>
        </w:rPr>
        <w:t>nümüzdeki 3 aydaki üretim beklentisi” söz konusu dönemde T</w:t>
      </w:r>
      <w:r w:rsidR="002366AF">
        <w:rPr>
          <w:bCs/>
          <w:sz w:val="24"/>
        </w:rPr>
        <w:t>ürkiye genelinden</w:t>
      </w:r>
      <w:r w:rsidR="00BE045B">
        <w:rPr>
          <w:bCs/>
          <w:sz w:val="24"/>
        </w:rPr>
        <w:t xml:space="preserve"> ve AB</w:t>
      </w:r>
      <w:r w:rsidR="00C0674C">
        <w:rPr>
          <w:bCs/>
          <w:sz w:val="24"/>
        </w:rPr>
        <w:t>-28</w:t>
      </w:r>
      <w:r w:rsidR="006B3471">
        <w:rPr>
          <w:bCs/>
          <w:sz w:val="24"/>
        </w:rPr>
        <w:t>’den daha yüksek</w:t>
      </w:r>
      <w:r w:rsidR="00C970A8">
        <w:rPr>
          <w:bCs/>
          <w:sz w:val="24"/>
        </w:rPr>
        <w:t xml:space="preserve"> bir değer aldı</w:t>
      </w:r>
      <w:r w:rsidR="004F32B0">
        <w:rPr>
          <w:bCs/>
          <w:sz w:val="24"/>
        </w:rPr>
        <w:t>.</w:t>
      </w:r>
      <w:r w:rsidR="00715850">
        <w:rPr>
          <w:bCs/>
          <w:sz w:val="24"/>
        </w:rPr>
        <w:t xml:space="preserve"> Konya imalat </w:t>
      </w:r>
      <w:r w:rsidR="00ED59A9">
        <w:rPr>
          <w:bCs/>
          <w:sz w:val="24"/>
        </w:rPr>
        <w:t xml:space="preserve">sanayide faaliyet gösterenlerin yüzde </w:t>
      </w:r>
      <w:r>
        <w:rPr>
          <w:bCs/>
          <w:sz w:val="24"/>
        </w:rPr>
        <w:t>57</w:t>
      </w:r>
      <w:r w:rsidR="00863C8C">
        <w:rPr>
          <w:bCs/>
          <w:sz w:val="24"/>
        </w:rPr>
        <w:t>’</w:t>
      </w:r>
      <w:r>
        <w:rPr>
          <w:bCs/>
          <w:sz w:val="24"/>
        </w:rPr>
        <w:t>si</w:t>
      </w:r>
      <w:r w:rsidR="007C0237">
        <w:rPr>
          <w:bCs/>
          <w:sz w:val="24"/>
        </w:rPr>
        <w:t xml:space="preserve"> </w:t>
      </w:r>
      <w:r w:rsidR="00ED59A9">
        <w:rPr>
          <w:bCs/>
          <w:sz w:val="24"/>
        </w:rPr>
        <w:t>önümüzde</w:t>
      </w:r>
      <w:r w:rsidR="00863C8C">
        <w:rPr>
          <w:bCs/>
          <w:sz w:val="24"/>
        </w:rPr>
        <w:t xml:space="preserve">ki </w:t>
      </w:r>
      <w:r w:rsidR="00ED59A9">
        <w:rPr>
          <w:bCs/>
          <w:sz w:val="24"/>
        </w:rPr>
        <w:t>3 ayda üretim</w:t>
      </w:r>
      <w:r w:rsidR="00FF26D9">
        <w:rPr>
          <w:bCs/>
          <w:sz w:val="24"/>
        </w:rPr>
        <w:t>lerinin artacağını</w:t>
      </w:r>
      <w:r w:rsidR="00B84529">
        <w:rPr>
          <w:bCs/>
          <w:sz w:val="24"/>
        </w:rPr>
        <w:t xml:space="preserve"> beklemektedir.</w:t>
      </w:r>
    </w:p>
    <w:p w:rsidR="0000109B" w:rsidRDefault="0000109B" w:rsidP="006802D9">
      <w:pPr>
        <w:tabs>
          <w:tab w:val="left" w:pos="8258"/>
        </w:tabs>
        <w:spacing w:after="0"/>
        <w:jc w:val="both"/>
      </w:pPr>
    </w:p>
    <w:p w:rsidR="0000109B" w:rsidRDefault="0000109B" w:rsidP="0000109B">
      <w:pPr>
        <w:tabs>
          <w:tab w:val="left" w:pos="8258"/>
        </w:tabs>
        <w:spacing w:after="0"/>
        <w:jc w:val="both"/>
      </w:pPr>
      <w:r w:rsidRPr="003127E7">
        <w:rPr>
          <w:b/>
        </w:rPr>
        <w:t>Şekil-</w:t>
      </w:r>
      <w:r w:rsidR="00335ABD">
        <w:rPr>
          <w:b/>
        </w:rPr>
        <w:t>6</w:t>
      </w:r>
      <w:r w:rsidRPr="003127E7">
        <w:rPr>
          <w:b/>
        </w:rPr>
        <w:t>.</w:t>
      </w:r>
      <w:r w:rsidRPr="003127E7">
        <w:t xml:space="preserve"> </w:t>
      </w:r>
      <w:r>
        <w:t>Önümüzdeki 3 aya göre üretim beklentisi* (%artacak – %azalacak</w:t>
      </w:r>
      <w:r w:rsidRPr="00662EBC">
        <w:t>)</w:t>
      </w:r>
      <w:r w:rsidRPr="00662EBC">
        <w:rPr>
          <w:noProof/>
        </w:rPr>
        <w:t xml:space="preserve"> </w:t>
      </w:r>
      <w:r w:rsidR="00982E92">
        <w:t xml:space="preserve"> (Nisan</w:t>
      </w:r>
      <w:r w:rsidR="00FC4042">
        <w:t xml:space="preserve"> 2015</w:t>
      </w:r>
      <w:r w:rsidRPr="003127E7">
        <w:t xml:space="preserve"> – </w:t>
      </w:r>
      <w:r w:rsidR="00982E92">
        <w:t>Nisan</w:t>
      </w:r>
      <w:r w:rsidR="00FC4042">
        <w:t xml:space="preserve"> 2016</w:t>
      </w:r>
      <w:r w:rsidRPr="003127E7">
        <w:t>)</w:t>
      </w:r>
    </w:p>
    <w:p w:rsidR="001D08FE" w:rsidRDefault="00982E92" w:rsidP="0000109B">
      <w:pPr>
        <w:tabs>
          <w:tab w:val="left" w:pos="8258"/>
        </w:tabs>
        <w:spacing w:after="0"/>
        <w:jc w:val="both"/>
      </w:pPr>
      <w:r>
        <w:rPr>
          <w:noProof/>
        </w:rPr>
        <w:drawing>
          <wp:inline distT="0" distB="0" distL="0" distR="0" wp14:anchorId="687549AF" wp14:editId="119A892F">
            <wp:extent cx="5759450" cy="2324100"/>
            <wp:effectExtent l="0" t="0" r="12700" b="1905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70F5" w:rsidRDefault="004B70F5" w:rsidP="0000109B">
      <w:pPr>
        <w:tabs>
          <w:tab w:val="left" w:pos="8258"/>
        </w:tabs>
        <w:spacing w:after="0"/>
        <w:jc w:val="both"/>
      </w:pPr>
    </w:p>
    <w:p w:rsidR="000F65CE" w:rsidRDefault="000F65CE" w:rsidP="0000109B">
      <w:pPr>
        <w:tabs>
          <w:tab w:val="left" w:pos="8258"/>
        </w:tabs>
        <w:spacing w:after="0"/>
        <w:jc w:val="both"/>
      </w:pPr>
    </w:p>
    <w:p w:rsidR="008A3748" w:rsidRDefault="008A3748" w:rsidP="0000109B">
      <w:pPr>
        <w:tabs>
          <w:tab w:val="left" w:pos="8258"/>
        </w:tabs>
        <w:spacing w:after="0"/>
        <w:jc w:val="both"/>
      </w:pPr>
    </w:p>
    <w:p w:rsidR="002B242F" w:rsidRDefault="00982E92" w:rsidP="002B242F">
      <w:pPr>
        <w:pStyle w:val="Balk2"/>
        <w:spacing w:before="0" w:after="240" w:line="240" w:lineRule="auto"/>
        <w:jc w:val="both"/>
      </w:pPr>
      <w:r>
        <w:rPr>
          <w:rFonts w:asciiTheme="minorHAnsi" w:hAnsiTheme="minorHAnsi" w:cs="Arial"/>
          <w:color w:val="595959" w:themeColor="text1" w:themeTint="A6"/>
          <w:sz w:val="28"/>
        </w:rPr>
        <w:t>Nisan</w:t>
      </w:r>
      <w:r w:rsidR="00C970A8">
        <w:rPr>
          <w:rFonts w:asciiTheme="minorHAnsi" w:hAnsiTheme="minorHAnsi" w:cs="Arial"/>
          <w:color w:val="595959" w:themeColor="text1" w:themeTint="A6"/>
          <w:sz w:val="28"/>
        </w:rPr>
        <w:t xml:space="preserve"> ayında</w:t>
      </w:r>
      <w:r w:rsidR="002B242F">
        <w:rPr>
          <w:rFonts w:asciiTheme="minorHAnsi" w:hAnsiTheme="minorHAnsi" w:cs="Arial"/>
          <w:color w:val="595959" w:themeColor="text1" w:themeTint="A6"/>
          <w:sz w:val="28"/>
        </w:rPr>
        <w:t xml:space="preserve"> Konya’da kapasite kullanım</w:t>
      </w:r>
      <w:r w:rsidR="00FD7BAD">
        <w:rPr>
          <w:rFonts w:asciiTheme="minorHAnsi" w:hAnsiTheme="minorHAnsi" w:cs="Arial"/>
          <w:color w:val="595959" w:themeColor="text1" w:themeTint="A6"/>
          <w:sz w:val="28"/>
        </w:rPr>
        <w:t xml:space="preserve"> oranları</w:t>
      </w:r>
      <w:r w:rsidR="002366AF">
        <w:rPr>
          <w:rFonts w:asciiTheme="minorHAnsi" w:hAnsiTheme="minorHAnsi" w:cs="Arial"/>
          <w:color w:val="595959" w:themeColor="text1" w:themeTint="A6"/>
          <w:sz w:val="28"/>
        </w:rPr>
        <w:t xml:space="preserve"> </w:t>
      </w:r>
      <w:r w:rsidR="00EA51EA">
        <w:rPr>
          <w:rFonts w:asciiTheme="minorHAnsi" w:hAnsiTheme="minorHAnsi" w:cs="Arial"/>
          <w:color w:val="595959" w:themeColor="text1" w:themeTint="A6"/>
          <w:sz w:val="28"/>
        </w:rPr>
        <w:t>yükseldi</w:t>
      </w:r>
      <w:r w:rsidR="002B242F">
        <w:rPr>
          <w:rFonts w:asciiTheme="minorHAnsi" w:hAnsiTheme="minorHAnsi" w:cs="Arial"/>
          <w:color w:val="595959" w:themeColor="text1" w:themeTint="A6"/>
          <w:sz w:val="28"/>
        </w:rPr>
        <w:t>:</w:t>
      </w:r>
    </w:p>
    <w:p w:rsidR="00DD090D" w:rsidRDefault="00982E92" w:rsidP="00715850">
      <w:pPr>
        <w:spacing w:after="240"/>
        <w:jc w:val="both"/>
        <w:rPr>
          <w:bCs/>
          <w:sz w:val="24"/>
        </w:rPr>
      </w:pPr>
      <w:r>
        <w:rPr>
          <w:bCs/>
          <w:sz w:val="24"/>
        </w:rPr>
        <w:t>Mart</w:t>
      </w:r>
      <w:r w:rsidR="00EA51EA">
        <w:rPr>
          <w:bCs/>
          <w:sz w:val="24"/>
        </w:rPr>
        <w:t xml:space="preserve"> 2016’da</w:t>
      </w:r>
      <w:r w:rsidR="00974BD0">
        <w:rPr>
          <w:bCs/>
          <w:sz w:val="24"/>
        </w:rPr>
        <w:t xml:space="preserve"> Konya’da kapasite kullanım oranı</w:t>
      </w:r>
      <w:r>
        <w:rPr>
          <w:bCs/>
          <w:sz w:val="24"/>
        </w:rPr>
        <w:t xml:space="preserve"> yüzde 53,6</w:t>
      </w:r>
      <w:r w:rsidR="00FD7BAD">
        <w:rPr>
          <w:bCs/>
          <w:sz w:val="24"/>
        </w:rPr>
        <w:t xml:space="preserve"> iken</w:t>
      </w:r>
      <w:r w:rsidR="00974BD0">
        <w:rPr>
          <w:bCs/>
          <w:sz w:val="24"/>
        </w:rPr>
        <w:t xml:space="preserve"> </w:t>
      </w:r>
      <w:r>
        <w:rPr>
          <w:bCs/>
          <w:sz w:val="24"/>
        </w:rPr>
        <w:t>Nisan</w:t>
      </w:r>
      <w:r w:rsidR="00FD7BAD">
        <w:rPr>
          <w:bCs/>
          <w:sz w:val="24"/>
        </w:rPr>
        <w:t xml:space="preserve"> </w:t>
      </w:r>
      <w:r w:rsidR="00FC4042">
        <w:rPr>
          <w:bCs/>
          <w:sz w:val="24"/>
        </w:rPr>
        <w:t>2016’da</w:t>
      </w:r>
      <w:r w:rsidR="00DD162D">
        <w:rPr>
          <w:bCs/>
          <w:sz w:val="24"/>
        </w:rPr>
        <w:t xml:space="preserve"> </w:t>
      </w:r>
      <w:r w:rsidR="00FD7BAD">
        <w:rPr>
          <w:bCs/>
          <w:sz w:val="24"/>
        </w:rPr>
        <w:t xml:space="preserve">bir önceki aya göre </w:t>
      </w:r>
      <w:r>
        <w:rPr>
          <w:bCs/>
          <w:sz w:val="24"/>
        </w:rPr>
        <w:t>2,5</w:t>
      </w:r>
      <w:r w:rsidR="00FD7BAD">
        <w:rPr>
          <w:bCs/>
          <w:sz w:val="24"/>
        </w:rPr>
        <w:t xml:space="preserve"> puan </w:t>
      </w:r>
      <w:r w:rsidR="00EA51EA">
        <w:rPr>
          <w:bCs/>
          <w:sz w:val="24"/>
        </w:rPr>
        <w:t>yüksel</w:t>
      </w:r>
      <w:r w:rsidR="00FD7BAD">
        <w:rPr>
          <w:bCs/>
          <w:sz w:val="24"/>
        </w:rPr>
        <w:t>erek</w:t>
      </w:r>
      <w:r>
        <w:rPr>
          <w:bCs/>
          <w:sz w:val="24"/>
        </w:rPr>
        <w:t xml:space="preserve"> yüzde 56,1</w:t>
      </w:r>
      <w:r w:rsidR="00974BD0">
        <w:rPr>
          <w:bCs/>
          <w:sz w:val="24"/>
        </w:rPr>
        <w:t xml:space="preserve"> </w:t>
      </w:r>
      <w:r w:rsidR="00A303ED">
        <w:rPr>
          <w:bCs/>
          <w:sz w:val="24"/>
        </w:rPr>
        <w:t>değerini aldı</w:t>
      </w:r>
      <w:r w:rsidR="00BF2179" w:rsidRPr="0040674A">
        <w:rPr>
          <w:bCs/>
          <w:sz w:val="24"/>
        </w:rPr>
        <w:t>.</w:t>
      </w:r>
      <w:r w:rsidR="002B242F">
        <w:rPr>
          <w:bCs/>
          <w:sz w:val="24"/>
        </w:rPr>
        <w:t xml:space="preserve"> Türkiye’de ise</w:t>
      </w:r>
      <w:r w:rsidR="00117CB0">
        <w:rPr>
          <w:bCs/>
          <w:sz w:val="24"/>
        </w:rPr>
        <w:t xml:space="preserve"> kapasite kullanım oranı</w:t>
      </w:r>
      <w:r>
        <w:rPr>
          <w:bCs/>
          <w:sz w:val="24"/>
        </w:rPr>
        <w:t xml:space="preserve"> geçen aya göre 1</w:t>
      </w:r>
      <w:r w:rsidR="00FD7BAD">
        <w:rPr>
          <w:bCs/>
          <w:sz w:val="24"/>
        </w:rPr>
        <w:t xml:space="preserve"> puan </w:t>
      </w:r>
      <w:r w:rsidR="00243511">
        <w:rPr>
          <w:bCs/>
          <w:sz w:val="24"/>
        </w:rPr>
        <w:t>yüksel</w:t>
      </w:r>
      <w:r w:rsidR="00CA4387">
        <w:rPr>
          <w:bCs/>
          <w:sz w:val="24"/>
        </w:rPr>
        <w:t>erek</w:t>
      </w:r>
      <w:r w:rsidR="002B242F">
        <w:rPr>
          <w:bCs/>
          <w:sz w:val="24"/>
        </w:rPr>
        <w:t xml:space="preserve"> yüzde 7</w:t>
      </w:r>
      <w:r>
        <w:rPr>
          <w:bCs/>
          <w:sz w:val="24"/>
        </w:rPr>
        <w:t>5</w:t>
      </w:r>
      <w:r w:rsidR="00FD7BAD">
        <w:rPr>
          <w:bCs/>
          <w:sz w:val="24"/>
        </w:rPr>
        <w:t>,</w:t>
      </w:r>
      <w:r w:rsidR="00243511">
        <w:rPr>
          <w:bCs/>
          <w:sz w:val="24"/>
        </w:rPr>
        <w:t>3</w:t>
      </w:r>
      <w:r w:rsidR="00A303ED">
        <w:rPr>
          <w:bCs/>
          <w:sz w:val="24"/>
        </w:rPr>
        <w:t xml:space="preserve"> oldu</w:t>
      </w:r>
      <w:r w:rsidR="002B242F">
        <w:rPr>
          <w:bCs/>
          <w:sz w:val="24"/>
        </w:rPr>
        <w:t>.</w:t>
      </w:r>
    </w:p>
    <w:p w:rsidR="00982E92" w:rsidRDefault="00982E92" w:rsidP="00982E92">
      <w:pPr>
        <w:spacing w:after="240"/>
        <w:jc w:val="both"/>
        <w:rPr>
          <w:bCs/>
          <w:sz w:val="24"/>
        </w:rPr>
      </w:pPr>
      <w:r>
        <w:rPr>
          <w:bCs/>
          <w:sz w:val="24"/>
        </w:rPr>
        <w:t>Mevcut siparişler ve taleplerdeki önümüzdeki aylarda beklenen değişiklikler göz önüne alındığında, imalat sanayide faaliyet gösteren firmaların yüzde 66,3’ü üretim kapasitesinin fazlasıyla yeterli olduğunu, yüzde 22,7’si yeterli olduğunu, yüzde 11’i yetersiz olduğunu ifade etmiştir.</w:t>
      </w:r>
    </w:p>
    <w:p w:rsidR="00982E92" w:rsidRDefault="00982E92" w:rsidP="00982E92">
      <w:pPr>
        <w:spacing w:after="240"/>
        <w:jc w:val="both"/>
        <w:rPr>
          <w:bCs/>
          <w:sz w:val="24"/>
        </w:rPr>
      </w:pPr>
      <w:r>
        <w:rPr>
          <w:bCs/>
          <w:sz w:val="24"/>
        </w:rPr>
        <w:t>Konya imalat sanayinde faaliyet gösteren firmalar, mevcut siparişlerine göre ortalama 3,5 aylık üretimlerinin garanti olduğunu ifade etmiştir.</w:t>
      </w:r>
    </w:p>
    <w:p w:rsidR="00982E92" w:rsidRDefault="00982E92" w:rsidP="00715850">
      <w:pPr>
        <w:spacing w:after="240"/>
        <w:jc w:val="both"/>
        <w:rPr>
          <w:bCs/>
          <w:sz w:val="24"/>
        </w:rPr>
      </w:pPr>
    </w:p>
    <w:p w:rsidR="00EA51EA" w:rsidRDefault="00EA51EA" w:rsidP="0028231C">
      <w:pPr>
        <w:jc w:val="both"/>
        <w:rPr>
          <w:bCs/>
          <w:sz w:val="24"/>
        </w:rPr>
      </w:pPr>
    </w:p>
    <w:p w:rsidR="00EA51EA" w:rsidRDefault="00EA51EA" w:rsidP="0028231C">
      <w:pPr>
        <w:jc w:val="both"/>
        <w:rPr>
          <w:bCs/>
          <w:sz w:val="24"/>
        </w:rPr>
      </w:pPr>
    </w:p>
    <w:p w:rsidR="00EA51EA" w:rsidRDefault="00EA51EA" w:rsidP="0028231C">
      <w:pPr>
        <w:jc w:val="both"/>
        <w:rPr>
          <w:bCs/>
          <w:sz w:val="24"/>
        </w:rPr>
      </w:pPr>
    </w:p>
    <w:p w:rsidR="008C54B7" w:rsidRDefault="008C54B7" w:rsidP="008C54B7">
      <w:pPr>
        <w:jc w:val="both"/>
        <w:rPr>
          <w:rFonts w:eastAsia="Times New Roman" w:cs="Arial"/>
          <w:b/>
          <w:bCs/>
          <w:color w:val="595959" w:themeColor="text1" w:themeTint="A6"/>
          <w:sz w:val="28"/>
          <w:szCs w:val="26"/>
        </w:rPr>
      </w:pPr>
      <w:r>
        <w:rPr>
          <w:rFonts w:eastAsia="Times New Roman" w:cs="Arial"/>
          <w:b/>
          <w:bCs/>
          <w:color w:val="595959" w:themeColor="text1" w:themeTint="A6"/>
          <w:sz w:val="28"/>
          <w:szCs w:val="26"/>
        </w:rPr>
        <w:lastRenderedPageBreak/>
        <w:t>Konya’da firmaların yüzde 47’si finansal kısıtlamalardan şikâyet ediyor:</w:t>
      </w:r>
    </w:p>
    <w:p w:rsidR="008C54B7" w:rsidRDefault="008C54B7" w:rsidP="008C54B7">
      <w:pPr>
        <w:jc w:val="both"/>
        <w:rPr>
          <w:bCs/>
          <w:sz w:val="24"/>
        </w:rPr>
      </w:pPr>
      <w:r>
        <w:rPr>
          <w:sz w:val="24"/>
        </w:rPr>
        <w:t>Nisan ayında imalat sanayi</w:t>
      </w:r>
      <w:r w:rsidRPr="00AC367A">
        <w:rPr>
          <w:sz w:val="24"/>
        </w:rPr>
        <w:t xml:space="preserve"> sektöründe faaliye</w:t>
      </w:r>
      <w:r>
        <w:rPr>
          <w:sz w:val="24"/>
        </w:rPr>
        <w:t>t gösteren firmaların yüzde 47’si üretimi</w:t>
      </w:r>
      <w:r w:rsidRPr="00AC367A">
        <w:rPr>
          <w:sz w:val="24"/>
        </w:rPr>
        <w:t xml:space="preserve"> kısıtlayan </w:t>
      </w:r>
      <w:r>
        <w:rPr>
          <w:sz w:val="24"/>
        </w:rPr>
        <w:t xml:space="preserve">temel etmenin “finansal kısıtlamalar” olduğunu dile getirmiştir. </w:t>
      </w:r>
      <w:r>
        <w:rPr>
          <w:bCs/>
          <w:sz w:val="24"/>
        </w:rPr>
        <w:t xml:space="preserve">Firmaların yüzde 28’i yetersiz talebin, yüzde 13’ü işgücü eksikliğinin, yüzde 11,7’si diğer faktörlerin üretimlerini </w:t>
      </w:r>
      <w:r w:rsidRPr="008A0D07">
        <w:rPr>
          <w:bCs/>
          <w:sz w:val="24"/>
        </w:rPr>
        <w:t>kısıtladığı</w:t>
      </w:r>
      <w:r>
        <w:rPr>
          <w:bCs/>
          <w:sz w:val="24"/>
        </w:rPr>
        <w:t xml:space="preserve">nı ifade etmiştir. </w:t>
      </w:r>
    </w:p>
    <w:p w:rsidR="008C54B7" w:rsidRDefault="008C54B7" w:rsidP="008C54B7">
      <w:pPr>
        <w:tabs>
          <w:tab w:val="left" w:pos="8258"/>
        </w:tabs>
        <w:spacing w:after="0"/>
        <w:jc w:val="both"/>
      </w:pPr>
      <w:r w:rsidRPr="00576B96">
        <w:rPr>
          <w:b/>
        </w:rPr>
        <w:t>Şekil-7.</w:t>
      </w:r>
      <w:r w:rsidRPr="003127E7">
        <w:t xml:space="preserve"> </w:t>
      </w:r>
      <w:r>
        <w:t>Mevcut üretimi kısıtlayan faktörler* (Nisan 2016)</w:t>
      </w:r>
    </w:p>
    <w:p w:rsidR="008C54B7" w:rsidRPr="008A0D07" w:rsidRDefault="00AC0E35" w:rsidP="008C54B7">
      <w:pPr>
        <w:jc w:val="both"/>
        <w:rPr>
          <w:bCs/>
          <w:sz w:val="24"/>
        </w:rPr>
      </w:pPr>
      <w:r>
        <w:rPr>
          <w:noProof/>
        </w:rPr>
        <w:drawing>
          <wp:inline distT="0" distB="0" distL="0" distR="0" wp14:anchorId="27428160" wp14:editId="278F3401">
            <wp:extent cx="5676900" cy="3257550"/>
            <wp:effectExtent l="0" t="0" r="19050" b="19050"/>
            <wp:docPr id="22"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54B7" w:rsidRDefault="008C54B7" w:rsidP="008C54B7">
      <w:pPr>
        <w:pStyle w:val="Balk2"/>
        <w:spacing w:before="0" w:after="240" w:line="240" w:lineRule="auto"/>
        <w:jc w:val="both"/>
        <w:rPr>
          <w:rFonts w:asciiTheme="minorHAnsi" w:hAnsiTheme="minorHAnsi" w:cs="Arial"/>
          <w:color w:val="595959" w:themeColor="text1" w:themeTint="A6"/>
          <w:sz w:val="28"/>
        </w:rPr>
      </w:pPr>
    </w:p>
    <w:p w:rsidR="00EA51EA" w:rsidRDefault="00EA51EA" w:rsidP="0028231C">
      <w:pPr>
        <w:jc w:val="both"/>
        <w:rPr>
          <w:bCs/>
          <w:sz w:val="24"/>
        </w:rPr>
      </w:pPr>
    </w:p>
    <w:p w:rsidR="00EA51EA" w:rsidRDefault="00EA51EA" w:rsidP="0028231C">
      <w:pPr>
        <w:jc w:val="both"/>
        <w:rPr>
          <w:bCs/>
          <w:sz w:val="24"/>
        </w:rPr>
      </w:pPr>
    </w:p>
    <w:p w:rsidR="00EA51EA" w:rsidRDefault="00EA51EA" w:rsidP="0028231C">
      <w:pPr>
        <w:jc w:val="both"/>
        <w:rPr>
          <w:bCs/>
          <w:sz w:val="24"/>
        </w:rPr>
      </w:pPr>
    </w:p>
    <w:p w:rsidR="00EA51EA" w:rsidRDefault="00EA51EA" w:rsidP="0028231C">
      <w:pPr>
        <w:jc w:val="both"/>
        <w:rPr>
          <w:bCs/>
          <w:sz w:val="24"/>
        </w:rPr>
      </w:pPr>
    </w:p>
    <w:p w:rsidR="00EA51EA" w:rsidRDefault="00EA51EA" w:rsidP="0028231C">
      <w:pPr>
        <w:jc w:val="both"/>
        <w:rPr>
          <w:bCs/>
          <w:sz w:val="24"/>
        </w:rPr>
      </w:pPr>
    </w:p>
    <w:p w:rsidR="008C54B7" w:rsidRDefault="008C54B7" w:rsidP="0028231C">
      <w:pPr>
        <w:jc w:val="both"/>
        <w:rPr>
          <w:bCs/>
          <w:sz w:val="24"/>
        </w:rPr>
      </w:pPr>
    </w:p>
    <w:p w:rsidR="008C54B7" w:rsidRDefault="008C54B7" w:rsidP="0028231C">
      <w:pPr>
        <w:jc w:val="both"/>
        <w:rPr>
          <w:bCs/>
          <w:sz w:val="24"/>
        </w:rPr>
      </w:pPr>
    </w:p>
    <w:p w:rsidR="008C54B7" w:rsidRDefault="008C54B7" w:rsidP="0028231C">
      <w:pPr>
        <w:jc w:val="both"/>
        <w:rPr>
          <w:bCs/>
          <w:sz w:val="24"/>
        </w:rPr>
      </w:pPr>
    </w:p>
    <w:p w:rsidR="008C54B7" w:rsidRDefault="008C54B7" w:rsidP="0028231C">
      <w:pPr>
        <w:jc w:val="both"/>
        <w:rPr>
          <w:bCs/>
          <w:sz w:val="24"/>
        </w:rPr>
      </w:pPr>
    </w:p>
    <w:p w:rsidR="0028231C" w:rsidRPr="0028231C" w:rsidRDefault="0028231C" w:rsidP="0028231C"/>
    <w:p w:rsidR="0051573F" w:rsidRPr="00CE59C6" w:rsidRDefault="00FE1757" w:rsidP="0051573F">
      <w:pPr>
        <w:pStyle w:val="Balk2"/>
        <w:spacing w:before="0" w:after="240" w:line="240" w:lineRule="auto"/>
        <w:jc w:val="both"/>
        <w:rPr>
          <w:rFonts w:asciiTheme="minorHAnsi" w:hAnsiTheme="minorHAnsi" w:cs="Arial"/>
          <w:color w:val="595959" w:themeColor="text1" w:themeTint="A6"/>
          <w:sz w:val="28"/>
        </w:rPr>
      </w:pPr>
      <w:r w:rsidRPr="00CE59C6">
        <w:rPr>
          <w:rFonts w:asciiTheme="minorHAnsi" w:hAnsiTheme="minorHAnsi" w:cs="Arial"/>
          <w:color w:val="595959" w:themeColor="text1" w:themeTint="A6"/>
          <w:sz w:val="28"/>
        </w:rPr>
        <w:lastRenderedPageBreak/>
        <w:t>Konya</w:t>
      </w:r>
      <w:r w:rsidR="0010455C">
        <w:rPr>
          <w:rFonts w:asciiTheme="minorHAnsi" w:hAnsiTheme="minorHAnsi" w:cs="Arial"/>
          <w:color w:val="595959" w:themeColor="text1" w:themeTint="A6"/>
          <w:sz w:val="28"/>
        </w:rPr>
        <w:t xml:space="preserve"> imalat sanayinin yüzde 57’si</w:t>
      </w:r>
      <w:r w:rsidRPr="00CE59C6">
        <w:rPr>
          <w:rFonts w:asciiTheme="minorHAnsi" w:hAnsiTheme="minorHAnsi" w:cs="Arial"/>
          <w:color w:val="595959" w:themeColor="text1" w:themeTint="A6"/>
          <w:sz w:val="28"/>
        </w:rPr>
        <w:t xml:space="preserve"> önümüzdeki dönem</w:t>
      </w:r>
      <w:r w:rsidR="00B70B7F" w:rsidRPr="00CE59C6">
        <w:rPr>
          <w:rFonts w:asciiTheme="minorHAnsi" w:hAnsiTheme="minorHAnsi" w:cs="Arial"/>
          <w:color w:val="595959" w:themeColor="text1" w:themeTint="A6"/>
          <w:sz w:val="28"/>
        </w:rPr>
        <w:t>d</w:t>
      </w:r>
      <w:r w:rsidRPr="00CE59C6">
        <w:rPr>
          <w:rFonts w:asciiTheme="minorHAnsi" w:hAnsiTheme="minorHAnsi" w:cs="Arial"/>
          <w:color w:val="595959" w:themeColor="text1" w:themeTint="A6"/>
          <w:sz w:val="28"/>
        </w:rPr>
        <w:t xml:space="preserve">e </w:t>
      </w:r>
      <w:r w:rsidR="00B70B7F" w:rsidRPr="00CE59C6">
        <w:rPr>
          <w:rFonts w:asciiTheme="minorHAnsi" w:hAnsiTheme="minorHAnsi" w:cs="Arial"/>
          <w:color w:val="595959" w:themeColor="text1" w:themeTint="A6"/>
          <w:sz w:val="28"/>
        </w:rPr>
        <w:t>siparişlerin artmasını bekliyor</w:t>
      </w:r>
      <w:r w:rsidRPr="00CE59C6">
        <w:rPr>
          <w:rFonts w:asciiTheme="minorHAnsi" w:hAnsiTheme="minorHAnsi" w:cs="Arial"/>
          <w:color w:val="595959" w:themeColor="text1" w:themeTint="A6"/>
          <w:sz w:val="28"/>
        </w:rPr>
        <w:t>:</w:t>
      </w:r>
    </w:p>
    <w:p w:rsidR="00C375DB" w:rsidRPr="00CE59C6" w:rsidRDefault="0010455C" w:rsidP="0051573F">
      <w:pPr>
        <w:spacing w:after="240"/>
        <w:jc w:val="both"/>
        <w:rPr>
          <w:bCs/>
          <w:sz w:val="24"/>
        </w:rPr>
      </w:pPr>
      <w:r>
        <w:rPr>
          <w:bCs/>
          <w:sz w:val="24"/>
        </w:rPr>
        <w:t>Nisan</w:t>
      </w:r>
      <w:r w:rsidR="00570881" w:rsidRPr="00CE59C6">
        <w:rPr>
          <w:bCs/>
          <w:sz w:val="24"/>
        </w:rPr>
        <w:t xml:space="preserve"> 2016’da</w:t>
      </w:r>
      <w:r w:rsidR="007D40E2" w:rsidRPr="00CE59C6">
        <w:rPr>
          <w:bCs/>
          <w:sz w:val="24"/>
        </w:rPr>
        <w:t xml:space="preserve"> Konya</w:t>
      </w:r>
      <w:r w:rsidR="0051573F" w:rsidRPr="00CE59C6">
        <w:rPr>
          <w:bCs/>
          <w:sz w:val="24"/>
        </w:rPr>
        <w:t xml:space="preserve"> imalat sanayi</w:t>
      </w:r>
      <w:r w:rsidR="00715850" w:rsidRPr="00CE59C6">
        <w:rPr>
          <w:bCs/>
          <w:sz w:val="24"/>
        </w:rPr>
        <w:t>n</w:t>
      </w:r>
      <w:r w:rsidR="0051573F" w:rsidRPr="00CE59C6">
        <w:rPr>
          <w:bCs/>
          <w:sz w:val="24"/>
        </w:rPr>
        <w:t>de</w:t>
      </w:r>
      <w:r w:rsidR="00BE045B" w:rsidRPr="00CE59C6">
        <w:rPr>
          <w:bCs/>
          <w:sz w:val="24"/>
        </w:rPr>
        <w:t xml:space="preserve"> f</w:t>
      </w:r>
      <w:r w:rsidR="003C5036" w:rsidRPr="00CE59C6">
        <w:rPr>
          <w:bCs/>
          <w:sz w:val="24"/>
        </w:rPr>
        <w:t xml:space="preserve">aaliyet gösterenlerin yüzde </w:t>
      </w:r>
      <w:r>
        <w:rPr>
          <w:bCs/>
          <w:sz w:val="24"/>
        </w:rPr>
        <w:t>12</w:t>
      </w:r>
      <w:r w:rsidR="00CE59C6" w:rsidRPr="00CE59C6">
        <w:rPr>
          <w:bCs/>
          <w:sz w:val="24"/>
        </w:rPr>
        <w:t>,3</w:t>
      </w:r>
      <w:r w:rsidR="00570881" w:rsidRPr="00CE59C6">
        <w:rPr>
          <w:bCs/>
          <w:sz w:val="24"/>
        </w:rPr>
        <w:t>’</w:t>
      </w:r>
      <w:r w:rsidR="00CE59C6" w:rsidRPr="00CE59C6">
        <w:rPr>
          <w:bCs/>
          <w:sz w:val="24"/>
        </w:rPr>
        <w:t>ü</w:t>
      </w:r>
      <w:r w:rsidR="0051573F" w:rsidRPr="00CE59C6">
        <w:rPr>
          <w:bCs/>
          <w:sz w:val="24"/>
        </w:rPr>
        <w:t xml:space="preserve"> geçtiğimiz 3 aya göre toplam siparişlerin</w:t>
      </w:r>
      <w:r w:rsidR="00DD162D" w:rsidRPr="00CE59C6">
        <w:rPr>
          <w:bCs/>
          <w:sz w:val="24"/>
        </w:rPr>
        <w:t>in</w:t>
      </w:r>
      <w:r w:rsidR="0051573F" w:rsidRPr="00CE59C6">
        <w:rPr>
          <w:bCs/>
          <w:sz w:val="24"/>
        </w:rPr>
        <w:t xml:space="preserve"> a</w:t>
      </w:r>
      <w:r w:rsidR="00C375DB" w:rsidRPr="00CE59C6">
        <w:rPr>
          <w:bCs/>
          <w:sz w:val="24"/>
        </w:rPr>
        <w:t>rt</w:t>
      </w:r>
      <w:r w:rsidR="007A484E" w:rsidRPr="00CE59C6">
        <w:rPr>
          <w:bCs/>
          <w:sz w:val="24"/>
        </w:rPr>
        <w:t xml:space="preserve">tığını ifade ederken, </w:t>
      </w:r>
      <w:r w:rsidR="007D40E2" w:rsidRPr="00CE59C6">
        <w:rPr>
          <w:bCs/>
          <w:sz w:val="24"/>
        </w:rPr>
        <w:t>önümüzdeki 3 ayda toplam siparişlerin artacağ</w:t>
      </w:r>
      <w:r w:rsidR="005A7B79" w:rsidRPr="00CE59C6">
        <w:rPr>
          <w:bCs/>
          <w:sz w:val="24"/>
        </w:rPr>
        <w:t>ın</w:t>
      </w:r>
      <w:r>
        <w:rPr>
          <w:bCs/>
          <w:sz w:val="24"/>
        </w:rPr>
        <w:t>ı belirtenlerin oranı yüzde 57</w:t>
      </w:r>
      <w:r w:rsidR="003C5036" w:rsidRPr="00CE59C6">
        <w:rPr>
          <w:bCs/>
          <w:sz w:val="24"/>
        </w:rPr>
        <w:t xml:space="preserve"> </w:t>
      </w:r>
      <w:r w:rsidR="00A303ED" w:rsidRPr="00CE59C6">
        <w:rPr>
          <w:bCs/>
          <w:sz w:val="24"/>
        </w:rPr>
        <w:t>düzeyinde gerçekleşmiştir</w:t>
      </w:r>
      <w:r w:rsidR="007D40E2" w:rsidRPr="00CE59C6">
        <w:rPr>
          <w:bCs/>
          <w:sz w:val="24"/>
        </w:rPr>
        <w:t>.</w:t>
      </w:r>
    </w:p>
    <w:p w:rsidR="00C375DB" w:rsidRPr="00AC0E35" w:rsidRDefault="0010455C" w:rsidP="0051573F">
      <w:pPr>
        <w:spacing w:after="240"/>
        <w:jc w:val="both"/>
        <w:rPr>
          <w:bCs/>
          <w:sz w:val="24"/>
        </w:rPr>
      </w:pPr>
      <w:r w:rsidRPr="00AC0E35">
        <w:rPr>
          <w:bCs/>
          <w:sz w:val="24"/>
        </w:rPr>
        <w:t>Nisan</w:t>
      </w:r>
      <w:r w:rsidR="003C5036" w:rsidRPr="00AC0E35">
        <w:rPr>
          <w:bCs/>
          <w:sz w:val="24"/>
        </w:rPr>
        <w:t xml:space="preserve"> ayında</w:t>
      </w:r>
      <w:r w:rsidR="00C1264D" w:rsidRPr="00AC0E35">
        <w:rPr>
          <w:bCs/>
          <w:sz w:val="24"/>
        </w:rPr>
        <w:t xml:space="preserve"> </w:t>
      </w:r>
      <w:r w:rsidR="0051573F" w:rsidRPr="00AC0E35">
        <w:rPr>
          <w:bCs/>
          <w:sz w:val="24"/>
        </w:rPr>
        <w:t>Konyalı üretici</w:t>
      </w:r>
      <w:r w:rsidR="007A484E" w:rsidRPr="00AC0E35">
        <w:rPr>
          <w:bCs/>
          <w:sz w:val="24"/>
        </w:rPr>
        <w:t>ler</w:t>
      </w:r>
      <w:r w:rsidR="0051573F" w:rsidRPr="00AC0E35">
        <w:rPr>
          <w:bCs/>
          <w:sz w:val="24"/>
        </w:rPr>
        <w:t>in gele</w:t>
      </w:r>
      <w:r w:rsidR="007A484E" w:rsidRPr="00AC0E35">
        <w:rPr>
          <w:bCs/>
          <w:sz w:val="24"/>
        </w:rPr>
        <w:t>cek dönem</w:t>
      </w:r>
      <w:r w:rsidR="00C375DB" w:rsidRPr="00AC0E35">
        <w:rPr>
          <w:bCs/>
          <w:sz w:val="24"/>
        </w:rPr>
        <w:t xml:space="preserve"> siparişlerd</w:t>
      </w:r>
      <w:r w:rsidR="007D40E2" w:rsidRPr="00AC0E35">
        <w:rPr>
          <w:bCs/>
          <w:sz w:val="24"/>
        </w:rPr>
        <w:t>en umudunun</w:t>
      </w:r>
      <w:r w:rsidR="00DD162D" w:rsidRPr="00AC0E35">
        <w:rPr>
          <w:bCs/>
          <w:sz w:val="24"/>
        </w:rPr>
        <w:t>,</w:t>
      </w:r>
      <w:r w:rsidR="007D40E2" w:rsidRPr="00AC0E35">
        <w:rPr>
          <w:bCs/>
          <w:sz w:val="24"/>
        </w:rPr>
        <w:t xml:space="preserve"> geçtiğimiz dönemde gerçekleşen</w:t>
      </w:r>
      <w:r w:rsidR="00C375DB" w:rsidRPr="00AC0E35">
        <w:rPr>
          <w:bCs/>
          <w:sz w:val="24"/>
        </w:rPr>
        <w:t xml:space="preserve"> </w:t>
      </w:r>
      <w:r w:rsidR="00BE6061" w:rsidRPr="00AC0E35">
        <w:rPr>
          <w:bCs/>
          <w:sz w:val="24"/>
        </w:rPr>
        <w:t>sipariş artışlarından daha fazla</w:t>
      </w:r>
      <w:r w:rsidR="007A484E" w:rsidRPr="00AC0E35">
        <w:rPr>
          <w:bCs/>
          <w:sz w:val="24"/>
        </w:rPr>
        <w:t xml:space="preserve"> olduğu görülmektedir</w:t>
      </w:r>
      <w:r w:rsidR="0051573F" w:rsidRPr="00AC0E35">
        <w:rPr>
          <w:bCs/>
          <w:sz w:val="24"/>
        </w:rPr>
        <w:t xml:space="preserve">. </w:t>
      </w:r>
    </w:p>
    <w:p w:rsidR="0051573F" w:rsidRDefault="0051573F" w:rsidP="0051573F">
      <w:pPr>
        <w:spacing w:after="240"/>
        <w:jc w:val="both"/>
        <w:rPr>
          <w:bCs/>
          <w:sz w:val="24"/>
        </w:rPr>
      </w:pPr>
      <w:r w:rsidRPr="00AC0E35">
        <w:rPr>
          <w:bCs/>
          <w:sz w:val="24"/>
        </w:rPr>
        <w:t>Siparişlere iç piyasa ve ihracat detayında bakıldığında</w:t>
      </w:r>
      <w:r w:rsidR="00DD162D" w:rsidRPr="00AC0E35">
        <w:rPr>
          <w:bCs/>
          <w:sz w:val="24"/>
        </w:rPr>
        <w:t>,</w:t>
      </w:r>
      <w:r w:rsidRPr="00AC0E35">
        <w:rPr>
          <w:bCs/>
          <w:sz w:val="24"/>
        </w:rPr>
        <w:t xml:space="preserve"> </w:t>
      </w:r>
      <w:r w:rsidR="00784F20" w:rsidRPr="00AC0E35">
        <w:rPr>
          <w:bCs/>
          <w:sz w:val="24"/>
        </w:rPr>
        <w:t>h</w:t>
      </w:r>
      <w:r w:rsidR="00BE6061" w:rsidRPr="00AC0E35">
        <w:rPr>
          <w:bCs/>
          <w:sz w:val="24"/>
        </w:rPr>
        <w:t xml:space="preserve">em </w:t>
      </w:r>
      <w:r w:rsidR="00AC0E35" w:rsidRPr="00AC0E35">
        <w:rPr>
          <w:bCs/>
          <w:sz w:val="24"/>
        </w:rPr>
        <w:t>şu andaki</w:t>
      </w:r>
      <w:r w:rsidR="009D25DF" w:rsidRPr="00AC0E35">
        <w:rPr>
          <w:bCs/>
          <w:sz w:val="24"/>
        </w:rPr>
        <w:t xml:space="preserve"> hem </w:t>
      </w:r>
      <w:r w:rsidR="00AC0E35" w:rsidRPr="00AC0E35">
        <w:rPr>
          <w:bCs/>
          <w:sz w:val="24"/>
        </w:rPr>
        <w:t>gelecek dönemdeki</w:t>
      </w:r>
      <w:r w:rsidR="00CE59C6" w:rsidRPr="00AC0E35">
        <w:rPr>
          <w:bCs/>
          <w:sz w:val="24"/>
        </w:rPr>
        <w:t xml:space="preserve"> </w:t>
      </w:r>
      <w:r w:rsidR="00AC0E35" w:rsidRPr="00AC0E35">
        <w:rPr>
          <w:bCs/>
          <w:sz w:val="24"/>
        </w:rPr>
        <w:t>iç piyasa</w:t>
      </w:r>
      <w:r w:rsidR="00372B39" w:rsidRPr="00AC0E35">
        <w:rPr>
          <w:bCs/>
          <w:sz w:val="24"/>
        </w:rPr>
        <w:t xml:space="preserve"> </w:t>
      </w:r>
      <w:r w:rsidR="00EC1D10" w:rsidRPr="00AC0E35">
        <w:rPr>
          <w:bCs/>
          <w:sz w:val="24"/>
        </w:rPr>
        <w:t xml:space="preserve">sipariş </w:t>
      </w:r>
      <w:r w:rsidR="00784F20" w:rsidRPr="00AC0E35">
        <w:rPr>
          <w:bCs/>
          <w:sz w:val="24"/>
        </w:rPr>
        <w:t xml:space="preserve">durumu ve </w:t>
      </w:r>
      <w:r w:rsidR="006F26C3" w:rsidRPr="00AC0E35">
        <w:rPr>
          <w:bCs/>
          <w:sz w:val="24"/>
        </w:rPr>
        <w:t>beklentisindeki olumlu algının</w:t>
      </w:r>
      <w:r w:rsidR="00A303ED" w:rsidRPr="00AC0E35">
        <w:rPr>
          <w:bCs/>
          <w:sz w:val="24"/>
        </w:rPr>
        <w:t>,</w:t>
      </w:r>
      <w:r w:rsidR="00EC1D10" w:rsidRPr="00AC0E35">
        <w:rPr>
          <w:bCs/>
          <w:sz w:val="24"/>
        </w:rPr>
        <w:t xml:space="preserve"> </w:t>
      </w:r>
      <w:r w:rsidR="00AC0E35" w:rsidRPr="00AC0E35">
        <w:rPr>
          <w:bCs/>
          <w:sz w:val="24"/>
        </w:rPr>
        <w:t xml:space="preserve">ihracat </w:t>
      </w:r>
      <w:r w:rsidR="00C1264D" w:rsidRPr="00AC0E35">
        <w:rPr>
          <w:bCs/>
          <w:sz w:val="24"/>
        </w:rPr>
        <w:t xml:space="preserve">siparişlerinden </w:t>
      </w:r>
      <w:r w:rsidR="00FA2B0C" w:rsidRPr="00AC0E35">
        <w:rPr>
          <w:bCs/>
          <w:sz w:val="24"/>
        </w:rPr>
        <w:t xml:space="preserve">daha </w:t>
      </w:r>
      <w:r w:rsidR="006F26C3" w:rsidRPr="00AC0E35">
        <w:rPr>
          <w:bCs/>
          <w:sz w:val="24"/>
        </w:rPr>
        <w:t>yüksek</w:t>
      </w:r>
      <w:r w:rsidR="00FA2B0C" w:rsidRPr="00AC0E35">
        <w:rPr>
          <w:bCs/>
          <w:sz w:val="24"/>
        </w:rPr>
        <w:t xml:space="preserve"> olduğu </w:t>
      </w:r>
      <w:r w:rsidR="00A303ED" w:rsidRPr="00AC0E35">
        <w:rPr>
          <w:bCs/>
          <w:sz w:val="24"/>
        </w:rPr>
        <w:t>tespit edilmiştir.</w:t>
      </w:r>
      <w:r>
        <w:rPr>
          <w:bCs/>
          <w:sz w:val="24"/>
        </w:rPr>
        <w:t xml:space="preserve"> </w:t>
      </w:r>
    </w:p>
    <w:p w:rsidR="001824DF" w:rsidRDefault="001824DF" w:rsidP="001824DF">
      <w:pPr>
        <w:tabs>
          <w:tab w:val="left" w:pos="8258"/>
        </w:tabs>
        <w:spacing w:after="0"/>
        <w:jc w:val="both"/>
      </w:pPr>
      <w:r w:rsidRPr="003127E7">
        <w:rPr>
          <w:b/>
        </w:rPr>
        <w:t>Şekil-</w:t>
      </w:r>
      <w:r w:rsidR="00DD470B">
        <w:rPr>
          <w:b/>
        </w:rPr>
        <w:t>8</w:t>
      </w:r>
      <w:r w:rsidRPr="003127E7">
        <w:rPr>
          <w:b/>
        </w:rPr>
        <w:t>.</w:t>
      </w:r>
      <w:r w:rsidRPr="003127E7">
        <w:t xml:space="preserve"> </w:t>
      </w:r>
      <w:r w:rsidR="00102D6A">
        <w:t>Konya’da s</w:t>
      </w:r>
      <w:r>
        <w:t xml:space="preserve">ipariş durumu </w:t>
      </w:r>
      <w:r w:rsidR="00717008">
        <w:t xml:space="preserve">(%) </w:t>
      </w:r>
      <w:r>
        <w:t>(</w:t>
      </w:r>
      <w:r w:rsidR="0010455C">
        <w:t>Nisan</w:t>
      </w:r>
      <w:r w:rsidR="00570881">
        <w:t xml:space="preserve"> 2016</w:t>
      </w:r>
      <w:r>
        <w:t>)</w:t>
      </w:r>
    </w:p>
    <w:p w:rsidR="001D08FE" w:rsidRDefault="0010455C" w:rsidP="001824DF">
      <w:pPr>
        <w:tabs>
          <w:tab w:val="left" w:pos="8258"/>
        </w:tabs>
        <w:spacing w:after="0"/>
        <w:jc w:val="both"/>
      </w:pPr>
      <w:r>
        <w:rPr>
          <w:noProof/>
        </w:rPr>
        <w:drawing>
          <wp:inline distT="0" distB="0" distL="0" distR="0" wp14:anchorId="79A7592A" wp14:editId="477EF37A">
            <wp:extent cx="5759450" cy="3822700"/>
            <wp:effectExtent l="0" t="0" r="12700" b="2540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53E1" w:rsidRDefault="009A53E1" w:rsidP="001824DF">
      <w:pPr>
        <w:tabs>
          <w:tab w:val="left" w:pos="8258"/>
        </w:tabs>
        <w:spacing w:after="0"/>
        <w:jc w:val="both"/>
      </w:pPr>
    </w:p>
    <w:p w:rsidR="00140A7A" w:rsidRDefault="00140A7A" w:rsidP="001824DF">
      <w:pPr>
        <w:tabs>
          <w:tab w:val="left" w:pos="8258"/>
        </w:tabs>
        <w:spacing w:after="0"/>
        <w:jc w:val="both"/>
        <w:rPr>
          <w:sz w:val="24"/>
          <w:szCs w:val="24"/>
        </w:rPr>
      </w:pPr>
    </w:p>
    <w:p w:rsidR="009A53E1" w:rsidRPr="00140A7A" w:rsidRDefault="009A53E1" w:rsidP="001824DF">
      <w:pPr>
        <w:tabs>
          <w:tab w:val="left" w:pos="8258"/>
        </w:tabs>
        <w:spacing w:after="0"/>
        <w:jc w:val="both"/>
        <w:rPr>
          <w:sz w:val="24"/>
          <w:szCs w:val="24"/>
        </w:rPr>
      </w:pPr>
    </w:p>
    <w:p w:rsidR="009A53E1" w:rsidRPr="00140A7A" w:rsidRDefault="009A53E1" w:rsidP="001824DF">
      <w:pPr>
        <w:tabs>
          <w:tab w:val="left" w:pos="8258"/>
        </w:tabs>
        <w:spacing w:after="0"/>
        <w:jc w:val="both"/>
        <w:rPr>
          <w:sz w:val="24"/>
          <w:szCs w:val="24"/>
        </w:rPr>
      </w:pPr>
    </w:p>
    <w:p w:rsidR="009A53E1" w:rsidRDefault="009A53E1" w:rsidP="001824DF">
      <w:pPr>
        <w:tabs>
          <w:tab w:val="left" w:pos="8258"/>
        </w:tabs>
        <w:spacing w:after="0"/>
        <w:jc w:val="both"/>
      </w:pPr>
    </w:p>
    <w:p w:rsidR="009A53E1" w:rsidRDefault="009A53E1" w:rsidP="001824DF">
      <w:pPr>
        <w:tabs>
          <w:tab w:val="left" w:pos="8258"/>
        </w:tabs>
        <w:spacing w:after="0"/>
        <w:jc w:val="both"/>
      </w:pPr>
    </w:p>
    <w:p w:rsidR="009A53E1" w:rsidRDefault="009A53E1" w:rsidP="001824DF">
      <w:pPr>
        <w:tabs>
          <w:tab w:val="left" w:pos="8258"/>
        </w:tabs>
        <w:spacing w:after="0"/>
        <w:jc w:val="both"/>
      </w:pPr>
    </w:p>
    <w:p w:rsidR="004E4859" w:rsidRDefault="004E4859" w:rsidP="001824DF">
      <w:pPr>
        <w:tabs>
          <w:tab w:val="left" w:pos="8258"/>
        </w:tabs>
        <w:spacing w:after="0"/>
        <w:jc w:val="both"/>
      </w:pPr>
    </w:p>
    <w:p w:rsidR="007A484E" w:rsidRPr="0051573F" w:rsidRDefault="004D0E44" w:rsidP="007A484E">
      <w:pPr>
        <w:pStyle w:val="Balk2"/>
        <w:spacing w:before="0" w:after="240" w:line="240" w:lineRule="auto"/>
        <w:jc w:val="both"/>
        <w:rPr>
          <w:rFonts w:asciiTheme="minorHAnsi" w:hAnsiTheme="minorHAnsi" w:cs="Arial"/>
          <w:color w:val="595959" w:themeColor="text1" w:themeTint="A6"/>
          <w:sz w:val="28"/>
        </w:rPr>
      </w:pPr>
      <w:r>
        <w:rPr>
          <w:rFonts w:asciiTheme="minorHAnsi" w:hAnsiTheme="minorHAnsi" w:cs="Arial"/>
          <w:color w:val="595959" w:themeColor="text1" w:themeTint="A6"/>
          <w:sz w:val="28"/>
        </w:rPr>
        <w:lastRenderedPageBreak/>
        <w:t>Konya</w:t>
      </w:r>
      <w:r w:rsidR="00372B39">
        <w:rPr>
          <w:rFonts w:asciiTheme="minorHAnsi" w:hAnsiTheme="minorHAnsi" w:cs="Arial"/>
          <w:color w:val="595959" w:themeColor="text1" w:themeTint="A6"/>
          <w:sz w:val="28"/>
        </w:rPr>
        <w:t xml:space="preserve">’da </w:t>
      </w:r>
      <w:r w:rsidR="007A484E">
        <w:rPr>
          <w:rFonts w:asciiTheme="minorHAnsi" w:hAnsiTheme="minorHAnsi" w:cs="Arial"/>
          <w:color w:val="595959" w:themeColor="text1" w:themeTint="A6"/>
          <w:sz w:val="28"/>
        </w:rPr>
        <w:t>mevcut s</w:t>
      </w:r>
      <w:r w:rsidR="00BD699F">
        <w:rPr>
          <w:rFonts w:asciiTheme="minorHAnsi" w:hAnsiTheme="minorHAnsi" w:cs="Arial"/>
          <w:color w:val="595959" w:themeColor="text1" w:themeTint="A6"/>
          <w:sz w:val="28"/>
        </w:rPr>
        <w:t xml:space="preserve">ipariş miktarı geçen aya </w:t>
      </w:r>
      <w:r w:rsidR="00286670">
        <w:rPr>
          <w:rFonts w:asciiTheme="minorHAnsi" w:hAnsiTheme="minorHAnsi" w:cs="Arial"/>
          <w:color w:val="595959" w:themeColor="text1" w:themeTint="A6"/>
          <w:sz w:val="28"/>
        </w:rPr>
        <w:t xml:space="preserve">göre </w:t>
      </w:r>
      <w:r w:rsidR="0010455C">
        <w:rPr>
          <w:rFonts w:asciiTheme="minorHAnsi" w:hAnsiTheme="minorHAnsi" w:cs="Arial"/>
          <w:color w:val="595959" w:themeColor="text1" w:themeTint="A6"/>
          <w:sz w:val="28"/>
        </w:rPr>
        <w:t>arttı</w:t>
      </w:r>
      <w:r w:rsidR="007A484E" w:rsidRPr="0051573F">
        <w:rPr>
          <w:rFonts w:asciiTheme="minorHAnsi" w:hAnsiTheme="minorHAnsi" w:cs="Arial"/>
          <w:color w:val="595959" w:themeColor="text1" w:themeTint="A6"/>
          <w:sz w:val="28"/>
        </w:rPr>
        <w:t>:</w:t>
      </w:r>
    </w:p>
    <w:p w:rsidR="007A484E" w:rsidRDefault="0010455C" w:rsidP="007A484E">
      <w:pPr>
        <w:tabs>
          <w:tab w:val="left" w:pos="8258"/>
        </w:tabs>
        <w:spacing w:after="0"/>
        <w:jc w:val="both"/>
      </w:pPr>
      <w:r>
        <w:rPr>
          <w:bCs/>
          <w:sz w:val="24"/>
        </w:rPr>
        <w:t>Nisan</w:t>
      </w:r>
      <w:r w:rsidR="00771C8F">
        <w:rPr>
          <w:bCs/>
          <w:sz w:val="24"/>
        </w:rPr>
        <w:t xml:space="preserve"> 2016’da</w:t>
      </w:r>
      <w:r w:rsidR="007A484E">
        <w:rPr>
          <w:bCs/>
          <w:sz w:val="24"/>
        </w:rPr>
        <w:t xml:space="preserve"> </w:t>
      </w:r>
      <w:r w:rsidR="00BD699F">
        <w:rPr>
          <w:bCs/>
          <w:sz w:val="24"/>
        </w:rPr>
        <w:t>Konya</w:t>
      </w:r>
      <w:r w:rsidR="00715850">
        <w:rPr>
          <w:bCs/>
          <w:sz w:val="24"/>
        </w:rPr>
        <w:t>’da</w:t>
      </w:r>
      <w:r w:rsidR="00BD699F">
        <w:rPr>
          <w:bCs/>
          <w:sz w:val="24"/>
        </w:rPr>
        <w:t xml:space="preserve"> imalat sanayi</w:t>
      </w:r>
      <w:r w:rsidR="00715850">
        <w:rPr>
          <w:bCs/>
          <w:sz w:val="24"/>
        </w:rPr>
        <w:t xml:space="preserve"> sektörün</w:t>
      </w:r>
      <w:r w:rsidR="00BD699F">
        <w:rPr>
          <w:bCs/>
          <w:sz w:val="24"/>
        </w:rPr>
        <w:t>de faaliyet gösterenlerin yüz</w:t>
      </w:r>
      <w:r w:rsidR="00E56767">
        <w:rPr>
          <w:bCs/>
          <w:sz w:val="24"/>
        </w:rPr>
        <w:t xml:space="preserve">de </w:t>
      </w:r>
      <w:r>
        <w:rPr>
          <w:bCs/>
          <w:sz w:val="24"/>
        </w:rPr>
        <w:t>14,7</w:t>
      </w:r>
      <w:r w:rsidR="00286670">
        <w:rPr>
          <w:bCs/>
          <w:sz w:val="24"/>
        </w:rPr>
        <w:t>’</w:t>
      </w:r>
      <w:r>
        <w:rPr>
          <w:bCs/>
          <w:sz w:val="24"/>
        </w:rPr>
        <w:t>s</w:t>
      </w:r>
      <w:r w:rsidR="00CD3EFB">
        <w:rPr>
          <w:bCs/>
          <w:sz w:val="24"/>
        </w:rPr>
        <w:t>i</w:t>
      </w:r>
      <w:r w:rsidR="00BD699F">
        <w:rPr>
          <w:bCs/>
          <w:sz w:val="24"/>
        </w:rPr>
        <w:t xml:space="preserve"> mevcut sipariş</w:t>
      </w:r>
      <w:r w:rsidR="00A303ED">
        <w:rPr>
          <w:bCs/>
          <w:sz w:val="24"/>
        </w:rPr>
        <w:t>lerin normalin üzerinde</w:t>
      </w:r>
      <w:r w:rsidR="00BD699F">
        <w:rPr>
          <w:bCs/>
          <w:sz w:val="24"/>
        </w:rPr>
        <w:t xml:space="preserve">, yüzde </w:t>
      </w:r>
      <w:r>
        <w:rPr>
          <w:bCs/>
          <w:sz w:val="24"/>
        </w:rPr>
        <w:t>42</w:t>
      </w:r>
      <w:r w:rsidR="00752350">
        <w:rPr>
          <w:bCs/>
          <w:sz w:val="24"/>
        </w:rPr>
        <w:t>’</w:t>
      </w:r>
      <w:r>
        <w:rPr>
          <w:bCs/>
          <w:sz w:val="24"/>
        </w:rPr>
        <w:t>s</w:t>
      </w:r>
      <w:r w:rsidR="00EA51EA">
        <w:rPr>
          <w:bCs/>
          <w:sz w:val="24"/>
        </w:rPr>
        <w:t>i</w:t>
      </w:r>
      <w:r w:rsidR="009C7C3A">
        <w:rPr>
          <w:bCs/>
          <w:sz w:val="24"/>
        </w:rPr>
        <w:t xml:space="preserve"> normal seviyede, yüzde </w:t>
      </w:r>
      <w:r>
        <w:rPr>
          <w:bCs/>
          <w:sz w:val="24"/>
        </w:rPr>
        <w:t>43,3</w:t>
      </w:r>
      <w:r w:rsidR="00752350">
        <w:rPr>
          <w:bCs/>
          <w:sz w:val="24"/>
        </w:rPr>
        <w:t>’</w:t>
      </w:r>
      <w:r w:rsidR="00CD3EFB">
        <w:rPr>
          <w:bCs/>
          <w:sz w:val="24"/>
        </w:rPr>
        <w:t>ü</w:t>
      </w:r>
      <w:r w:rsidR="00BD699F">
        <w:rPr>
          <w:bCs/>
          <w:sz w:val="24"/>
        </w:rPr>
        <w:t xml:space="preserve"> ise normalin altında olduğunu ifade etmiştir. </w:t>
      </w:r>
      <w:r w:rsidR="007A484E">
        <w:rPr>
          <w:bCs/>
          <w:sz w:val="24"/>
        </w:rPr>
        <w:t xml:space="preserve">Konya’da şu andaki toplam sipariş miktarı, </w:t>
      </w:r>
      <w:r>
        <w:rPr>
          <w:bCs/>
          <w:sz w:val="24"/>
        </w:rPr>
        <w:t>nisan</w:t>
      </w:r>
      <w:r w:rsidR="006F26C3">
        <w:rPr>
          <w:bCs/>
          <w:sz w:val="24"/>
        </w:rPr>
        <w:t xml:space="preserve"> ayında </w:t>
      </w:r>
      <w:r w:rsidR="005937A4">
        <w:rPr>
          <w:bCs/>
          <w:sz w:val="24"/>
        </w:rPr>
        <w:t>Türkiye</w:t>
      </w:r>
      <w:r w:rsidR="00771C8F">
        <w:rPr>
          <w:bCs/>
          <w:sz w:val="24"/>
        </w:rPr>
        <w:t xml:space="preserve"> geneli ve AB-28’den</w:t>
      </w:r>
      <w:r w:rsidR="00FF26D9">
        <w:rPr>
          <w:bCs/>
          <w:sz w:val="24"/>
        </w:rPr>
        <w:t xml:space="preserve"> </w:t>
      </w:r>
      <w:r w:rsidR="005937A4">
        <w:rPr>
          <w:bCs/>
          <w:sz w:val="24"/>
        </w:rPr>
        <w:t>dah</w:t>
      </w:r>
      <w:r w:rsidR="009C7C3A">
        <w:rPr>
          <w:bCs/>
          <w:sz w:val="24"/>
        </w:rPr>
        <w:t xml:space="preserve">a </w:t>
      </w:r>
      <w:r w:rsidR="00AF7166">
        <w:rPr>
          <w:bCs/>
          <w:sz w:val="24"/>
        </w:rPr>
        <w:t>düşük</w:t>
      </w:r>
      <w:r w:rsidR="005937A4">
        <w:rPr>
          <w:bCs/>
          <w:sz w:val="24"/>
        </w:rPr>
        <w:t xml:space="preserve"> bir değer almıştır.</w:t>
      </w:r>
    </w:p>
    <w:p w:rsidR="004F32B0" w:rsidRDefault="004F32B0" w:rsidP="006802D9">
      <w:pPr>
        <w:tabs>
          <w:tab w:val="left" w:pos="8258"/>
        </w:tabs>
        <w:spacing w:after="0"/>
        <w:jc w:val="both"/>
        <w:rPr>
          <w:b/>
        </w:rPr>
      </w:pPr>
    </w:p>
    <w:p w:rsidR="0051573F" w:rsidRDefault="0000109B" w:rsidP="006802D9">
      <w:pPr>
        <w:tabs>
          <w:tab w:val="left" w:pos="8258"/>
        </w:tabs>
        <w:spacing w:after="0"/>
        <w:jc w:val="both"/>
      </w:pPr>
      <w:r w:rsidRPr="003127E7">
        <w:rPr>
          <w:b/>
        </w:rPr>
        <w:t>Şekil-</w:t>
      </w:r>
      <w:r w:rsidR="00DD470B">
        <w:rPr>
          <w:b/>
        </w:rPr>
        <w:t>9</w:t>
      </w:r>
      <w:r w:rsidRPr="003127E7">
        <w:rPr>
          <w:b/>
        </w:rPr>
        <w:t>.</w:t>
      </w:r>
      <w:r w:rsidRPr="003127E7">
        <w:t xml:space="preserve"> </w:t>
      </w:r>
      <w:r>
        <w:t xml:space="preserve">Şu andaki toplam sipariş düzeyi* </w:t>
      </w:r>
      <w:r w:rsidRPr="00662EBC">
        <w:t>(%</w:t>
      </w:r>
      <w:r>
        <w:t>normalin üzerinde</w:t>
      </w:r>
      <w:r w:rsidRPr="00662EBC">
        <w:t xml:space="preserve"> – %</w:t>
      </w:r>
      <w:r>
        <w:t>normalin altında</w:t>
      </w:r>
      <w:r w:rsidRPr="00662EBC">
        <w:t>)</w:t>
      </w:r>
      <w:r w:rsidRPr="00662EBC">
        <w:rPr>
          <w:noProof/>
        </w:rPr>
        <w:t xml:space="preserve"> </w:t>
      </w:r>
      <w:r w:rsidRPr="003127E7">
        <w:t xml:space="preserve"> (</w:t>
      </w:r>
      <w:r w:rsidR="0010455C">
        <w:t>Nisan</w:t>
      </w:r>
      <w:r w:rsidR="00771C8F">
        <w:t xml:space="preserve"> 2015</w:t>
      </w:r>
      <w:r w:rsidRPr="003127E7">
        <w:t xml:space="preserve"> –</w:t>
      </w:r>
      <w:r w:rsidR="0010455C">
        <w:t>Nisan</w:t>
      </w:r>
      <w:r w:rsidR="00771C8F">
        <w:t xml:space="preserve"> 2016</w:t>
      </w:r>
      <w:r w:rsidRPr="003127E7">
        <w:t>)</w:t>
      </w:r>
    </w:p>
    <w:p w:rsidR="00F5407F" w:rsidRDefault="0010455C" w:rsidP="00715850">
      <w:pPr>
        <w:tabs>
          <w:tab w:val="left" w:pos="8258"/>
        </w:tabs>
        <w:spacing w:after="0"/>
        <w:jc w:val="both"/>
      </w:pPr>
      <w:r>
        <w:rPr>
          <w:noProof/>
        </w:rPr>
        <w:drawing>
          <wp:inline distT="0" distB="0" distL="0" distR="0" wp14:anchorId="527198D4" wp14:editId="635A1569">
            <wp:extent cx="5759450" cy="2495550"/>
            <wp:effectExtent l="0" t="0" r="12700" b="1905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40A7A" w:rsidRDefault="00140A7A" w:rsidP="00404BA3">
      <w:pPr>
        <w:pStyle w:val="Balk2"/>
        <w:spacing w:before="0" w:after="240" w:line="240" w:lineRule="auto"/>
        <w:jc w:val="both"/>
        <w:rPr>
          <w:rFonts w:asciiTheme="minorHAnsi" w:hAnsiTheme="minorHAnsi" w:cs="Arial"/>
          <w:color w:val="595959" w:themeColor="text1" w:themeTint="A6"/>
          <w:sz w:val="28"/>
        </w:rPr>
      </w:pPr>
    </w:p>
    <w:p w:rsidR="00CE0952" w:rsidRDefault="00CE0952" w:rsidP="00404BA3">
      <w:pPr>
        <w:pStyle w:val="Balk2"/>
        <w:spacing w:before="0" w:after="240" w:line="240" w:lineRule="auto"/>
        <w:jc w:val="both"/>
        <w:rPr>
          <w:rFonts w:asciiTheme="minorHAnsi" w:hAnsiTheme="minorHAnsi" w:cs="Arial"/>
          <w:color w:val="595959" w:themeColor="text1" w:themeTint="A6"/>
          <w:sz w:val="28"/>
        </w:rPr>
      </w:pPr>
    </w:p>
    <w:p w:rsidR="00CE0952" w:rsidRDefault="00CE0952" w:rsidP="00404BA3">
      <w:pPr>
        <w:pStyle w:val="Balk2"/>
        <w:spacing w:before="0" w:after="240" w:line="240" w:lineRule="auto"/>
        <w:jc w:val="both"/>
        <w:rPr>
          <w:rFonts w:asciiTheme="minorHAnsi" w:hAnsiTheme="minorHAnsi" w:cs="Arial"/>
          <w:color w:val="595959" w:themeColor="text1" w:themeTint="A6"/>
          <w:sz w:val="28"/>
        </w:rPr>
      </w:pPr>
    </w:p>
    <w:p w:rsidR="00CE0952" w:rsidRDefault="00CE0952" w:rsidP="00404BA3">
      <w:pPr>
        <w:pStyle w:val="Balk2"/>
        <w:spacing w:before="0" w:after="240" w:line="240" w:lineRule="auto"/>
        <w:jc w:val="both"/>
        <w:rPr>
          <w:rFonts w:asciiTheme="minorHAnsi" w:hAnsiTheme="minorHAnsi" w:cs="Arial"/>
          <w:color w:val="595959" w:themeColor="text1" w:themeTint="A6"/>
          <w:sz w:val="28"/>
        </w:rPr>
      </w:pPr>
    </w:p>
    <w:p w:rsidR="00CE0952" w:rsidRDefault="00CE0952" w:rsidP="00404BA3">
      <w:pPr>
        <w:pStyle w:val="Balk2"/>
        <w:spacing w:before="0" w:after="240" w:line="240" w:lineRule="auto"/>
        <w:jc w:val="both"/>
        <w:rPr>
          <w:rFonts w:asciiTheme="minorHAnsi" w:hAnsiTheme="minorHAnsi" w:cs="Arial"/>
          <w:color w:val="595959" w:themeColor="text1" w:themeTint="A6"/>
          <w:sz w:val="28"/>
        </w:rPr>
      </w:pPr>
    </w:p>
    <w:p w:rsidR="00CE0952" w:rsidRDefault="00CE0952" w:rsidP="00404BA3">
      <w:pPr>
        <w:pStyle w:val="Balk2"/>
        <w:spacing w:before="0" w:after="240" w:line="240" w:lineRule="auto"/>
        <w:jc w:val="both"/>
        <w:rPr>
          <w:rFonts w:asciiTheme="minorHAnsi" w:hAnsiTheme="minorHAnsi" w:cs="Arial"/>
          <w:color w:val="595959" w:themeColor="text1" w:themeTint="A6"/>
          <w:sz w:val="28"/>
        </w:rPr>
      </w:pPr>
    </w:p>
    <w:p w:rsidR="00CE0952" w:rsidRDefault="00CE0952" w:rsidP="00404BA3">
      <w:pPr>
        <w:pStyle w:val="Balk2"/>
        <w:spacing w:before="0" w:after="240" w:line="240" w:lineRule="auto"/>
        <w:jc w:val="both"/>
        <w:rPr>
          <w:rFonts w:asciiTheme="minorHAnsi" w:hAnsiTheme="minorHAnsi" w:cs="Arial"/>
          <w:color w:val="595959" w:themeColor="text1" w:themeTint="A6"/>
          <w:sz w:val="28"/>
        </w:rPr>
      </w:pPr>
    </w:p>
    <w:p w:rsidR="00CE0952" w:rsidRDefault="00CE0952" w:rsidP="00404BA3">
      <w:pPr>
        <w:pStyle w:val="Balk2"/>
        <w:spacing w:before="0" w:after="240" w:line="240" w:lineRule="auto"/>
        <w:jc w:val="both"/>
        <w:rPr>
          <w:rFonts w:asciiTheme="minorHAnsi" w:hAnsiTheme="minorHAnsi" w:cs="Arial"/>
          <w:color w:val="595959" w:themeColor="text1" w:themeTint="A6"/>
          <w:sz w:val="28"/>
        </w:rPr>
      </w:pPr>
    </w:p>
    <w:p w:rsidR="00CE0952" w:rsidRDefault="00CE0952" w:rsidP="00CE0952"/>
    <w:p w:rsidR="00CE0952" w:rsidRDefault="00CE0952" w:rsidP="00CE0952"/>
    <w:p w:rsidR="00CE0952" w:rsidRDefault="00CE0952" w:rsidP="00CE0952"/>
    <w:p w:rsidR="00404BA3" w:rsidRPr="0051573F" w:rsidRDefault="00836526" w:rsidP="00404BA3">
      <w:pPr>
        <w:pStyle w:val="Balk2"/>
        <w:spacing w:before="0" w:after="240" w:line="240" w:lineRule="auto"/>
        <w:jc w:val="both"/>
        <w:rPr>
          <w:rFonts w:asciiTheme="minorHAnsi" w:hAnsiTheme="minorHAnsi" w:cs="Arial"/>
          <w:color w:val="595959" w:themeColor="text1" w:themeTint="A6"/>
          <w:sz w:val="28"/>
        </w:rPr>
      </w:pPr>
      <w:r>
        <w:rPr>
          <w:rFonts w:asciiTheme="minorHAnsi" w:hAnsiTheme="minorHAnsi" w:cs="Arial"/>
          <w:color w:val="595959" w:themeColor="text1" w:themeTint="A6"/>
          <w:sz w:val="28"/>
        </w:rPr>
        <w:lastRenderedPageBreak/>
        <w:t>Konya imalat sanayi</w:t>
      </w:r>
      <w:r w:rsidR="00832F44">
        <w:rPr>
          <w:rFonts w:asciiTheme="minorHAnsi" w:hAnsiTheme="minorHAnsi" w:cs="Arial"/>
          <w:color w:val="595959" w:themeColor="text1" w:themeTint="A6"/>
          <w:sz w:val="28"/>
        </w:rPr>
        <w:t>n</w:t>
      </w:r>
      <w:r>
        <w:rPr>
          <w:rFonts w:asciiTheme="minorHAnsi" w:hAnsiTheme="minorHAnsi" w:cs="Arial"/>
          <w:color w:val="595959" w:themeColor="text1" w:themeTint="A6"/>
          <w:sz w:val="28"/>
        </w:rPr>
        <w:t>de</w:t>
      </w:r>
      <w:r w:rsidR="00404BA3" w:rsidRPr="00C27BED">
        <w:rPr>
          <w:rFonts w:asciiTheme="minorHAnsi" w:hAnsiTheme="minorHAnsi" w:cs="Arial"/>
          <w:color w:val="595959" w:themeColor="text1" w:themeTint="A6"/>
          <w:sz w:val="28"/>
        </w:rPr>
        <w:t xml:space="preserve"> önümü</w:t>
      </w:r>
      <w:r>
        <w:rPr>
          <w:rFonts w:asciiTheme="minorHAnsi" w:hAnsiTheme="minorHAnsi" w:cs="Arial"/>
          <w:color w:val="595959" w:themeColor="text1" w:themeTint="A6"/>
          <w:sz w:val="28"/>
        </w:rPr>
        <w:t>zdeki d</w:t>
      </w:r>
      <w:r w:rsidR="00D32B3F">
        <w:rPr>
          <w:rFonts w:asciiTheme="minorHAnsi" w:hAnsiTheme="minorHAnsi" w:cs="Arial"/>
          <w:color w:val="595959" w:themeColor="text1" w:themeTint="A6"/>
          <w:sz w:val="28"/>
        </w:rPr>
        <w:t xml:space="preserve">önemde istihdam beklentisi </w:t>
      </w:r>
      <w:r w:rsidR="006667A2">
        <w:rPr>
          <w:rFonts w:asciiTheme="minorHAnsi" w:hAnsiTheme="minorHAnsi" w:cs="Arial"/>
          <w:color w:val="595959" w:themeColor="text1" w:themeTint="A6"/>
          <w:sz w:val="28"/>
        </w:rPr>
        <w:t>yükseldi</w:t>
      </w:r>
      <w:r w:rsidR="00404BA3" w:rsidRPr="00C27BED">
        <w:rPr>
          <w:rFonts w:asciiTheme="minorHAnsi" w:hAnsiTheme="minorHAnsi" w:cs="Arial"/>
          <w:color w:val="595959" w:themeColor="text1" w:themeTint="A6"/>
          <w:sz w:val="28"/>
        </w:rPr>
        <w:t>:</w:t>
      </w:r>
    </w:p>
    <w:p w:rsidR="009F2FCC" w:rsidRDefault="0010455C" w:rsidP="00716F05">
      <w:pPr>
        <w:spacing w:after="240"/>
        <w:jc w:val="both"/>
        <w:rPr>
          <w:bCs/>
          <w:sz w:val="24"/>
        </w:rPr>
      </w:pPr>
      <w:r>
        <w:rPr>
          <w:bCs/>
          <w:sz w:val="24"/>
        </w:rPr>
        <w:t>Nisan</w:t>
      </w:r>
      <w:r w:rsidR="00902A2A">
        <w:rPr>
          <w:bCs/>
          <w:sz w:val="24"/>
        </w:rPr>
        <w:t xml:space="preserve"> 2016’da</w:t>
      </w:r>
      <w:r w:rsidR="00FB3DE7">
        <w:rPr>
          <w:bCs/>
          <w:sz w:val="24"/>
        </w:rPr>
        <w:t xml:space="preserve"> Konya</w:t>
      </w:r>
      <w:r w:rsidR="00716F05">
        <w:rPr>
          <w:bCs/>
          <w:sz w:val="24"/>
        </w:rPr>
        <w:t xml:space="preserve"> imalat sanayi</w:t>
      </w:r>
      <w:r w:rsidR="00715850">
        <w:rPr>
          <w:bCs/>
          <w:sz w:val="24"/>
        </w:rPr>
        <w:t>n</w:t>
      </w:r>
      <w:r w:rsidR="00716F05">
        <w:rPr>
          <w:bCs/>
          <w:sz w:val="24"/>
        </w:rPr>
        <w:t>de</w:t>
      </w:r>
      <w:r w:rsidR="009F2FCC">
        <w:rPr>
          <w:bCs/>
          <w:sz w:val="24"/>
        </w:rPr>
        <w:t xml:space="preserve"> fa</w:t>
      </w:r>
      <w:r w:rsidR="00A31F29">
        <w:rPr>
          <w:bCs/>
          <w:sz w:val="24"/>
        </w:rPr>
        <w:t>aliyet gösterenler</w:t>
      </w:r>
      <w:r w:rsidR="007341C6">
        <w:rPr>
          <w:bCs/>
          <w:sz w:val="24"/>
        </w:rPr>
        <w:t xml:space="preserve">in </w:t>
      </w:r>
      <w:r w:rsidR="006667A2">
        <w:rPr>
          <w:bCs/>
          <w:sz w:val="24"/>
        </w:rPr>
        <w:t>yüzde 28</w:t>
      </w:r>
      <w:r>
        <w:rPr>
          <w:bCs/>
          <w:sz w:val="24"/>
        </w:rPr>
        <w:t>,7</w:t>
      </w:r>
      <w:r w:rsidR="004D0E44">
        <w:rPr>
          <w:bCs/>
          <w:sz w:val="24"/>
        </w:rPr>
        <w:t>’</w:t>
      </w:r>
      <w:r>
        <w:rPr>
          <w:bCs/>
          <w:sz w:val="24"/>
        </w:rPr>
        <w:t>s</w:t>
      </w:r>
      <w:r w:rsidR="00AF7166">
        <w:rPr>
          <w:bCs/>
          <w:sz w:val="24"/>
        </w:rPr>
        <w:t>i</w:t>
      </w:r>
      <w:r w:rsidR="00716F05">
        <w:rPr>
          <w:bCs/>
          <w:sz w:val="24"/>
        </w:rPr>
        <w:t xml:space="preserve"> önümüzdeki 3 ayda istihdamını artıra</w:t>
      </w:r>
      <w:r w:rsidR="00FB3DE7">
        <w:rPr>
          <w:bCs/>
          <w:sz w:val="24"/>
        </w:rPr>
        <w:t>cağını ifade etmiştir. Önümüzdeki 12</w:t>
      </w:r>
      <w:r w:rsidR="00716F05">
        <w:rPr>
          <w:bCs/>
          <w:sz w:val="24"/>
        </w:rPr>
        <w:t xml:space="preserve"> ayda sabit sermaye yatırım ha</w:t>
      </w:r>
      <w:r w:rsidR="007A484E">
        <w:rPr>
          <w:bCs/>
          <w:sz w:val="24"/>
        </w:rPr>
        <w:t xml:space="preserve">rcamalarının artacağını </w:t>
      </w:r>
      <w:r w:rsidR="002D35F5">
        <w:rPr>
          <w:bCs/>
          <w:sz w:val="24"/>
        </w:rPr>
        <w:t>b</w:t>
      </w:r>
      <w:r>
        <w:rPr>
          <w:bCs/>
          <w:sz w:val="24"/>
        </w:rPr>
        <w:t>elirtenlerin oranı ise yüzde 6,3</w:t>
      </w:r>
      <w:r w:rsidR="00FB3DE7">
        <w:rPr>
          <w:bCs/>
          <w:sz w:val="24"/>
        </w:rPr>
        <w:t xml:space="preserve"> olmuştur.</w:t>
      </w:r>
      <w:r w:rsidR="00716F05">
        <w:rPr>
          <w:bCs/>
          <w:sz w:val="24"/>
        </w:rPr>
        <w:t xml:space="preserve"> </w:t>
      </w:r>
    </w:p>
    <w:p w:rsidR="003C7966" w:rsidRDefault="003C7966" w:rsidP="003C7966">
      <w:pPr>
        <w:tabs>
          <w:tab w:val="left" w:pos="8258"/>
        </w:tabs>
        <w:spacing w:after="0"/>
        <w:jc w:val="both"/>
      </w:pPr>
      <w:r w:rsidRPr="003127E7">
        <w:rPr>
          <w:b/>
        </w:rPr>
        <w:t>Şekil-</w:t>
      </w:r>
      <w:r w:rsidR="00DD470B">
        <w:rPr>
          <w:b/>
        </w:rPr>
        <w:t>10</w:t>
      </w:r>
      <w:r w:rsidRPr="003127E7">
        <w:rPr>
          <w:b/>
        </w:rPr>
        <w:t>.</w:t>
      </w:r>
      <w:r w:rsidRPr="003127E7">
        <w:t xml:space="preserve"> </w:t>
      </w:r>
      <w:r>
        <w:t>Konya’da istihdam ve yatırım (%) (</w:t>
      </w:r>
      <w:r w:rsidR="0010455C">
        <w:t>Nisan</w:t>
      </w:r>
      <w:r w:rsidR="006667A2">
        <w:t xml:space="preserve"> </w:t>
      </w:r>
      <w:r w:rsidR="00902A2A">
        <w:t>2016</w:t>
      </w:r>
      <w:r>
        <w:t>)</w:t>
      </w:r>
    </w:p>
    <w:p w:rsidR="00902A2A" w:rsidRDefault="0010455C" w:rsidP="003C7966">
      <w:pPr>
        <w:tabs>
          <w:tab w:val="left" w:pos="8258"/>
        </w:tabs>
        <w:spacing w:after="0"/>
        <w:jc w:val="both"/>
      </w:pPr>
      <w:r>
        <w:rPr>
          <w:noProof/>
        </w:rPr>
        <w:drawing>
          <wp:inline distT="0" distB="0" distL="0" distR="0" wp14:anchorId="2079EE09" wp14:editId="00AD99D4">
            <wp:extent cx="5721350" cy="1911350"/>
            <wp:effectExtent l="0" t="0" r="12700" b="1270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53A46" w:rsidRDefault="00853A46" w:rsidP="00716F05">
      <w:pPr>
        <w:spacing w:after="240"/>
        <w:jc w:val="both"/>
        <w:rPr>
          <w:bCs/>
          <w:sz w:val="24"/>
        </w:rPr>
      </w:pPr>
    </w:p>
    <w:p w:rsidR="007A484E" w:rsidRDefault="006F26C3" w:rsidP="00716F05">
      <w:pPr>
        <w:spacing w:after="240"/>
        <w:jc w:val="both"/>
        <w:rPr>
          <w:bCs/>
          <w:sz w:val="24"/>
        </w:rPr>
      </w:pPr>
      <w:r>
        <w:rPr>
          <w:bCs/>
          <w:sz w:val="24"/>
        </w:rPr>
        <w:t>Konya’da önümüzdeki 3 ayda istihdam</w:t>
      </w:r>
      <w:r w:rsidR="001D4809">
        <w:rPr>
          <w:bCs/>
          <w:sz w:val="24"/>
        </w:rPr>
        <w:t>ını artıracağını belirtenlerin oranında</w:t>
      </w:r>
      <w:r>
        <w:rPr>
          <w:bCs/>
          <w:sz w:val="24"/>
        </w:rPr>
        <w:t xml:space="preserve"> geçen aya göre </w:t>
      </w:r>
      <w:r w:rsidR="006667A2">
        <w:rPr>
          <w:bCs/>
          <w:sz w:val="24"/>
        </w:rPr>
        <w:t>artış</w:t>
      </w:r>
      <w:r>
        <w:rPr>
          <w:bCs/>
          <w:sz w:val="24"/>
        </w:rPr>
        <w:t xml:space="preserve"> yaşanmıştır. </w:t>
      </w:r>
      <w:r w:rsidR="001D4809">
        <w:rPr>
          <w:bCs/>
          <w:sz w:val="24"/>
        </w:rPr>
        <w:t xml:space="preserve">Ancak </w:t>
      </w:r>
      <w:r w:rsidR="004D0E44">
        <w:rPr>
          <w:bCs/>
          <w:sz w:val="24"/>
        </w:rPr>
        <w:t>önümüzdeki 3 ayda istihdam düzeyl</w:t>
      </w:r>
      <w:r w:rsidR="008C5ACA">
        <w:rPr>
          <w:bCs/>
          <w:sz w:val="24"/>
        </w:rPr>
        <w:t>erinin değişmeyeceğini düşün</w:t>
      </w:r>
      <w:r w:rsidR="001D4809">
        <w:rPr>
          <w:bCs/>
          <w:sz w:val="24"/>
        </w:rPr>
        <w:t xml:space="preserve">enlerin oranı hala yüksek seviyededir. </w:t>
      </w:r>
      <w:r w:rsidR="00E54D25">
        <w:rPr>
          <w:bCs/>
          <w:sz w:val="24"/>
        </w:rPr>
        <w:t>Nisan</w:t>
      </w:r>
      <w:r w:rsidR="00902A2A">
        <w:rPr>
          <w:bCs/>
          <w:sz w:val="24"/>
        </w:rPr>
        <w:t xml:space="preserve"> 2016’da</w:t>
      </w:r>
      <w:r w:rsidR="001D4809">
        <w:rPr>
          <w:bCs/>
          <w:sz w:val="24"/>
        </w:rPr>
        <w:t xml:space="preserve"> söz konusu oran yüzde </w:t>
      </w:r>
      <w:r w:rsidR="00E54D25">
        <w:rPr>
          <w:bCs/>
          <w:sz w:val="24"/>
        </w:rPr>
        <w:t>66,3</w:t>
      </w:r>
      <w:r w:rsidR="001D4809">
        <w:rPr>
          <w:bCs/>
          <w:sz w:val="24"/>
        </w:rPr>
        <w:t xml:space="preserve"> olarak gerçekleşmiştir.</w:t>
      </w:r>
      <w:r w:rsidR="00902A2A">
        <w:rPr>
          <w:bCs/>
          <w:sz w:val="24"/>
        </w:rPr>
        <w:t xml:space="preserve"> </w:t>
      </w:r>
      <w:r w:rsidR="00E54D25">
        <w:rPr>
          <w:bCs/>
          <w:sz w:val="24"/>
        </w:rPr>
        <w:t>Nisan</w:t>
      </w:r>
      <w:r w:rsidR="00902A2A">
        <w:rPr>
          <w:bCs/>
          <w:sz w:val="24"/>
        </w:rPr>
        <w:t xml:space="preserve"> </w:t>
      </w:r>
      <w:r w:rsidR="00A303ED">
        <w:rPr>
          <w:bCs/>
          <w:sz w:val="24"/>
        </w:rPr>
        <w:t>ayında ö</w:t>
      </w:r>
      <w:r w:rsidR="004D0E44">
        <w:rPr>
          <w:bCs/>
          <w:sz w:val="24"/>
        </w:rPr>
        <w:t>nümüzdeki 3 aya ilişki</w:t>
      </w:r>
      <w:r w:rsidR="00372B39">
        <w:rPr>
          <w:bCs/>
          <w:sz w:val="24"/>
        </w:rPr>
        <w:t>n istihdam beklentisi</w:t>
      </w:r>
      <w:r w:rsidR="008C5ACA">
        <w:rPr>
          <w:bCs/>
          <w:sz w:val="24"/>
        </w:rPr>
        <w:t>nin</w:t>
      </w:r>
      <w:r w:rsidR="00372B39">
        <w:rPr>
          <w:bCs/>
          <w:sz w:val="24"/>
        </w:rPr>
        <w:t xml:space="preserve"> </w:t>
      </w:r>
      <w:r w:rsidR="00A303ED">
        <w:rPr>
          <w:bCs/>
          <w:sz w:val="24"/>
        </w:rPr>
        <w:t xml:space="preserve">denge değeri, </w:t>
      </w:r>
      <w:r w:rsidR="00372B39">
        <w:rPr>
          <w:bCs/>
          <w:sz w:val="24"/>
        </w:rPr>
        <w:t>Konya’da</w:t>
      </w:r>
      <w:r w:rsidR="00FF49E5">
        <w:rPr>
          <w:bCs/>
          <w:sz w:val="24"/>
        </w:rPr>
        <w:t>, Türkiye geneli ve</w:t>
      </w:r>
      <w:r w:rsidR="00372B39">
        <w:rPr>
          <w:bCs/>
          <w:sz w:val="24"/>
        </w:rPr>
        <w:t xml:space="preserve"> </w:t>
      </w:r>
      <w:r w:rsidR="00A31F29">
        <w:rPr>
          <w:bCs/>
          <w:sz w:val="24"/>
        </w:rPr>
        <w:t xml:space="preserve">AB-28’den </w:t>
      </w:r>
      <w:r w:rsidR="004D0E44">
        <w:rPr>
          <w:bCs/>
          <w:sz w:val="24"/>
        </w:rPr>
        <w:t xml:space="preserve">daha </w:t>
      </w:r>
      <w:r w:rsidR="0053172B">
        <w:rPr>
          <w:bCs/>
          <w:sz w:val="24"/>
        </w:rPr>
        <w:t>yüksek</w:t>
      </w:r>
      <w:r w:rsidR="008C5ACA">
        <w:rPr>
          <w:bCs/>
          <w:sz w:val="24"/>
        </w:rPr>
        <w:t xml:space="preserve"> bir değer </w:t>
      </w:r>
      <w:r w:rsidR="001D4809">
        <w:rPr>
          <w:bCs/>
          <w:sz w:val="24"/>
        </w:rPr>
        <w:t>almıştır</w:t>
      </w:r>
      <w:r w:rsidR="008C5ACA">
        <w:rPr>
          <w:bCs/>
          <w:sz w:val="24"/>
        </w:rPr>
        <w:t>.</w:t>
      </w:r>
      <w:r w:rsidR="004D0E44">
        <w:rPr>
          <w:bCs/>
          <w:sz w:val="24"/>
        </w:rPr>
        <w:t xml:space="preserve"> </w:t>
      </w:r>
    </w:p>
    <w:p w:rsidR="0000109B" w:rsidRDefault="0000109B" w:rsidP="0000109B">
      <w:pPr>
        <w:tabs>
          <w:tab w:val="left" w:pos="8258"/>
        </w:tabs>
        <w:spacing w:after="0"/>
        <w:jc w:val="both"/>
      </w:pPr>
      <w:r w:rsidRPr="003127E7">
        <w:rPr>
          <w:b/>
        </w:rPr>
        <w:t>Şekil-</w:t>
      </w:r>
      <w:r w:rsidR="00335ABD">
        <w:rPr>
          <w:b/>
        </w:rPr>
        <w:t>1</w:t>
      </w:r>
      <w:r w:rsidR="00DD470B">
        <w:rPr>
          <w:b/>
        </w:rPr>
        <w:t>1</w:t>
      </w:r>
      <w:r w:rsidRPr="003127E7">
        <w:rPr>
          <w:b/>
        </w:rPr>
        <w:t>.</w:t>
      </w:r>
      <w:r w:rsidRPr="003127E7">
        <w:t xml:space="preserve"> </w:t>
      </w:r>
      <w:r>
        <w:t>Önümüzdeki 3 aydaki istihdam beklentisi*</w:t>
      </w:r>
      <w:r w:rsidRPr="003127E7">
        <w:t xml:space="preserve"> </w:t>
      </w:r>
      <w:r>
        <w:t>(%artacak – %azalacak</w:t>
      </w:r>
      <w:r w:rsidRPr="00662EBC">
        <w:t>)</w:t>
      </w:r>
      <w:r w:rsidRPr="00662EBC">
        <w:rPr>
          <w:noProof/>
        </w:rPr>
        <w:t xml:space="preserve"> </w:t>
      </w:r>
      <w:r w:rsidRPr="003127E7">
        <w:t>(</w:t>
      </w:r>
      <w:r w:rsidR="0010455C">
        <w:t>Nisan</w:t>
      </w:r>
      <w:r w:rsidR="00902A2A">
        <w:t xml:space="preserve"> 2015</w:t>
      </w:r>
      <w:r w:rsidRPr="003127E7">
        <w:t xml:space="preserve"> – </w:t>
      </w:r>
      <w:r w:rsidR="0010455C">
        <w:t>Nisan</w:t>
      </w:r>
      <w:r w:rsidR="0053172B">
        <w:t xml:space="preserve"> </w:t>
      </w:r>
      <w:r w:rsidR="00046B0C">
        <w:t>20</w:t>
      </w:r>
      <w:r w:rsidR="00902A2A">
        <w:t>16</w:t>
      </w:r>
      <w:r w:rsidRPr="003127E7">
        <w:t>)</w:t>
      </w:r>
    </w:p>
    <w:p w:rsidR="001D08FE" w:rsidRDefault="0010455C" w:rsidP="0000109B">
      <w:pPr>
        <w:tabs>
          <w:tab w:val="left" w:pos="8258"/>
        </w:tabs>
        <w:spacing w:after="0"/>
        <w:jc w:val="both"/>
      </w:pPr>
      <w:r>
        <w:rPr>
          <w:noProof/>
        </w:rPr>
        <w:drawing>
          <wp:inline distT="0" distB="0" distL="0" distR="0" wp14:anchorId="14CD7B61" wp14:editId="5CC2EC93">
            <wp:extent cx="5759450" cy="2546350"/>
            <wp:effectExtent l="0" t="0" r="12700" b="2540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31F29" w:rsidRDefault="00A31F29" w:rsidP="0051573F">
      <w:pPr>
        <w:pStyle w:val="Balk2"/>
        <w:spacing w:before="0" w:after="240" w:line="240" w:lineRule="auto"/>
        <w:jc w:val="both"/>
        <w:rPr>
          <w:rFonts w:asciiTheme="minorHAnsi" w:hAnsiTheme="minorHAnsi" w:cs="Arial"/>
          <w:color w:val="595959" w:themeColor="text1" w:themeTint="A6"/>
          <w:sz w:val="28"/>
        </w:rPr>
      </w:pPr>
    </w:p>
    <w:p w:rsidR="00BE24B6" w:rsidRDefault="00BE24B6" w:rsidP="00BE24B6"/>
    <w:p w:rsidR="0051573F" w:rsidRPr="0051573F" w:rsidRDefault="00372B39" w:rsidP="0051573F">
      <w:pPr>
        <w:pStyle w:val="Balk2"/>
        <w:spacing w:before="0" w:after="240" w:line="240" w:lineRule="auto"/>
        <w:jc w:val="both"/>
        <w:rPr>
          <w:rFonts w:asciiTheme="minorHAnsi" w:hAnsiTheme="minorHAnsi" w:cs="Arial"/>
          <w:color w:val="595959" w:themeColor="text1" w:themeTint="A6"/>
          <w:sz w:val="28"/>
        </w:rPr>
      </w:pPr>
      <w:r>
        <w:rPr>
          <w:rFonts w:asciiTheme="minorHAnsi" w:hAnsiTheme="minorHAnsi" w:cs="Arial"/>
          <w:color w:val="595959" w:themeColor="text1" w:themeTint="A6"/>
          <w:sz w:val="28"/>
        </w:rPr>
        <w:lastRenderedPageBreak/>
        <w:t>Konya imalat</w:t>
      </w:r>
      <w:r w:rsidR="00A31F29">
        <w:rPr>
          <w:rFonts w:asciiTheme="minorHAnsi" w:hAnsiTheme="minorHAnsi" w:cs="Arial"/>
          <w:color w:val="595959" w:themeColor="text1" w:themeTint="A6"/>
          <w:sz w:val="28"/>
        </w:rPr>
        <w:t xml:space="preserve"> sanayinin yüzde </w:t>
      </w:r>
      <w:r w:rsidR="00E54D25">
        <w:rPr>
          <w:rFonts w:asciiTheme="minorHAnsi" w:hAnsiTheme="minorHAnsi" w:cs="Arial"/>
          <w:color w:val="595959" w:themeColor="text1" w:themeTint="A6"/>
          <w:sz w:val="28"/>
        </w:rPr>
        <w:t>85</w:t>
      </w:r>
      <w:r w:rsidR="00BC0279">
        <w:rPr>
          <w:rFonts w:asciiTheme="minorHAnsi" w:hAnsiTheme="minorHAnsi" w:cs="Arial"/>
          <w:color w:val="595959" w:themeColor="text1" w:themeTint="A6"/>
          <w:sz w:val="28"/>
        </w:rPr>
        <w:t>’</w:t>
      </w:r>
      <w:r w:rsidR="005916B2">
        <w:rPr>
          <w:rFonts w:asciiTheme="minorHAnsi" w:hAnsiTheme="minorHAnsi" w:cs="Arial"/>
          <w:color w:val="595959" w:themeColor="text1" w:themeTint="A6"/>
          <w:sz w:val="28"/>
        </w:rPr>
        <w:t>i</w:t>
      </w:r>
      <w:r w:rsidR="00211617">
        <w:rPr>
          <w:rFonts w:asciiTheme="minorHAnsi" w:hAnsiTheme="minorHAnsi" w:cs="Arial"/>
          <w:color w:val="595959" w:themeColor="text1" w:themeTint="A6"/>
          <w:sz w:val="28"/>
        </w:rPr>
        <w:t xml:space="preserve"> ortalama</w:t>
      </w:r>
      <w:r>
        <w:rPr>
          <w:rFonts w:asciiTheme="minorHAnsi" w:hAnsiTheme="minorHAnsi" w:cs="Arial"/>
          <w:color w:val="595959" w:themeColor="text1" w:themeTint="A6"/>
          <w:sz w:val="28"/>
        </w:rPr>
        <w:t xml:space="preserve"> </w:t>
      </w:r>
      <w:r w:rsidR="00BD699F">
        <w:rPr>
          <w:rFonts w:asciiTheme="minorHAnsi" w:hAnsiTheme="minorHAnsi" w:cs="Arial"/>
          <w:color w:val="595959" w:themeColor="text1" w:themeTint="A6"/>
          <w:sz w:val="28"/>
        </w:rPr>
        <w:t>birim maliye</w:t>
      </w:r>
      <w:r w:rsidR="00E56767">
        <w:rPr>
          <w:rFonts w:asciiTheme="minorHAnsi" w:hAnsiTheme="minorHAnsi" w:cs="Arial"/>
          <w:color w:val="595959" w:themeColor="text1" w:themeTint="A6"/>
          <w:sz w:val="28"/>
        </w:rPr>
        <w:t>t</w:t>
      </w:r>
      <w:r w:rsidR="00211617">
        <w:rPr>
          <w:rFonts w:asciiTheme="minorHAnsi" w:hAnsiTheme="minorHAnsi" w:cs="Arial"/>
          <w:color w:val="595959" w:themeColor="text1" w:themeTint="A6"/>
          <w:sz w:val="28"/>
        </w:rPr>
        <w:t xml:space="preserve">lerinin arttığını ifade </w:t>
      </w:r>
      <w:r w:rsidR="00E56767">
        <w:rPr>
          <w:rFonts w:asciiTheme="minorHAnsi" w:hAnsiTheme="minorHAnsi" w:cs="Arial"/>
          <w:color w:val="595959" w:themeColor="text1" w:themeTint="A6"/>
          <w:sz w:val="28"/>
        </w:rPr>
        <w:t>ediyor:</w:t>
      </w:r>
    </w:p>
    <w:p w:rsidR="001C7D66" w:rsidRDefault="00E54D25" w:rsidP="0051573F">
      <w:pPr>
        <w:spacing w:after="240"/>
        <w:jc w:val="both"/>
        <w:rPr>
          <w:bCs/>
          <w:sz w:val="24"/>
        </w:rPr>
      </w:pPr>
      <w:r>
        <w:rPr>
          <w:bCs/>
          <w:sz w:val="24"/>
        </w:rPr>
        <w:t>Nisan</w:t>
      </w:r>
      <w:r w:rsidR="00CA152B">
        <w:rPr>
          <w:bCs/>
          <w:sz w:val="24"/>
        </w:rPr>
        <w:t xml:space="preserve"> 2016’da</w:t>
      </w:r>
      <w:r w:rsidR="00E478E6">
        <w:rPr>
          <w:bCs/>
          <w:sz w:val="24"/>
        </w:rPr>
        <w:t xml:space="preserve"> Konya</w:t>
      </w:r>
      <w:r w:rsidR="0051573F">
        <w:rPr>
          <w:bCs/>
          <w:sz w:val="24"/>
        </w:rPr>
        <w:t xml:space="preserve"> imalat sanayi</w:t>
      </w:r>
      <w:r w:rsidR="00715850">
        <w:rPr>
          <w:bCs/>
          <w:sz w:val="24"/>
        </w:rPr>
        <w:t>n</w:t>
      </w:r>
      <w:r w:rsidR="0051573F">
        <w:rPr>
          <w:bCs/>
          <w:sz w:val="24"/>
        </w:rPr>
        <w:t xml:space="preserve">de faaliyet gösterenlerin yüzde </w:t>
      </w:r>
      <w:r>
        <w:rPr>
          <w:bCs/>
          <w:sz w:val="24"/>
        </w:rPr>
        <w:t>85</w:t>
      </w:r>
      <w:r w:rsidR="00DA3D5C">
        <w:rPr>
          <w:bCs/>
          <w:sz w:val="24"/>
        </w:rPr>
        <w:t>’</w:t>
      </w:r>
      <w:r>
        <w:rPr>
          <w:bCs/>
          <w:sz w:val="24"/>
        </w:rPr>
        <w:t>i</w:t>
      </w:r>
      <w:r w:rsidR="0051573F">
        <w:rPr>
          <w:bCs/>
          <w:sz w:val="24"/>
        </w:rPr>
        <w:t xml:space="preserve"> geçtiğimiz 3 aya göre </w:t>
      </w:r>
      <w:r w:rsidR="001C7D66">
        <w:rPr>
          <w:bCs/>
          <w:sz w:val="24"/>
        </w:rPr>
        <w:t>ortalama birim maliyetin</w:t>
      </w:r>
      <w:r w:rsidR="0051573F">
        <w:rPr>
          <w:bCs/>
          <w:sz w:val="24"/>
        </w:rPr>
        <w:t xml:space="preserve"> a</w:t>
      </w:r>
      <w:r w:rsidR="001D3D21">
        <w:rPr>
          <w:bCs/>
          <w:sz w:val="24"/>
        </w:rPr>
        <w:t>rt</w:t>
      </w:r>
      <w:r w:rsidR="008F6254">
        <w:rPr>
          <w:bCs/>
          <w:sz w:val="24"/>
        </w:rPr>
        <w:t xml:space="preserve">tığını ifade ederken, yüzde </w:t>
      </w:r>
      <w:r>
        <w:rPr>
          <w:bCs/>
          <w:sz w:val="24"/>
        </w:rPr>
        <w:t>62,3</w:t>
      </w:r>
      <w:r w:rsidR="00B1105B">
        <w:rPr>
          <w:bCs/>
          <w:sz w:val="24"/>
        </w:rPr>
        <w:t>’</w:t>
      </w:r>
      <w:r>
        <w:rPr>
          <w:bCs/>
          <w:sz w:val="24"/>
        </w:rPr>
        <w:t>ü</w:t>
      </w:r>
      <w:r w:rsidR="00D422CE">
        <w:rPr>
          <w:bCs/>
          <w:sz w:val="24"/>
        </w:rPr>
        <w:t xml:space="preserve"> önümüzdeki 3 ayda</w:t>
      </w:r>
      <w:r w:rsidR="007A5236">
        <w:rPr>
          <w:bCs/>
          <w:sz w:val="24"/>
        </w:rPr>
        <w:t xml:space="preserve"> ortalama birim maliyetin</w:t>
      </w:r>
      <w:r w:rsidR="001C7D66">
        <w:rPr>
          <w:bCs/>
          <w:sz w:val="24"/>
        </w:rPr>
        <w:t xml:space="preserve"> </w:t>
      </w:r>
      <w:r w:rsidR="00425872">
        <w:rPr>
          <w:bCs/>
          <w:sz w:val="24"/>
        </w:rPr>
        <w:t>art</w:t>
      </w:r>
      <w:r w:rsidR="007A5236">
        <w:rPr>
          <w:bCs/>
          <w:sz w:val="24"/>
        </w:rPr>
        <w:t>acağı</w:t>
      </w:r>
      <w:r w:rsidR="00A303ED">
        <w:rPr>
          <w:bCs/>
          <w:sz w:val="24"/>
        </w:rPr>
        <w:t>nı</w:t>
      </w:r>
      <w:r w:rsidR="007A5236">
        <w:rPr>
          <w:bCs/>
          <w:sz w:val="24"/>
        </w:rPr>
        <w:t xml:space="preserve"> </w:t>
      </w:r>
      <w:r w:rsidR="00A303ED">
        <w:rPr>
          <w:bCs/>
          <w:sz w:val="24"/>
        </w:rPr>
        <w:t>beklemektedir</w:t>
      </w:r>
      <w:r w:rsidR="007A5236">
        <w:rPr>
          <w:bCs/>
          <w:sz w:val="24"/>
        </w:rPr>
        <w:t>.</w:t>
      </w:r>
      <w:r w:rsidR="00E56767">
        <w:rPr>
          <w:bCs/>
          <w:sz w:val="24"/>
        </w:rPr>
        <w:t xml:space="preserve"> </w:t>
      </w:r>
      <w:r w:rsidR="001D3D21">
        <w:rPr>
          <w:bCs/>
          <w:sz w:val="24"/>
        </w:rPr>
        <w:t>Konyalı üreticil</w:t>
      </w:r>
      <w:r w:rsidR="00DA3D5C">
        <w:rPr>
          <w:bCs/>
          <w:sz w:val="24"/>
        </w:rPr>
        <w:t>erin</w:t>
      </w:r>
      <w:r w:rsidR="0036241D">
        <w:rPr>
          <w:bCs/>
          <w:sz w:val="24"/>
        </w:rPr>
        <w:t xml:space="preserve"> yüzde </w:t>
      </w:r>
      <w:r w:rsidR="008F503B">
        <w:rPr>
          <w:bCs/>
          <w:sz w:val="24"/>
        </w:rPr>
        <w:t>2</w:t>
      </w:r>
      <w:r>
        <w:rPr>
          <w:bCs/>
          <w:sz w:val="24"/>
        </w:rPr>
        <w:t>4</w:t>
      </w:r>
      <w:r w:rsidR="00E478E6">
        <w:rPr>
          <w:bCs/>
          <w:sz w:val="24"/>
        </w:rPr>
        <w:t>’</w:t>
      </w:r>
      <w:r>
        <w:rPr>
          <w:bCs/>
          <w:sz w:val="24"/>
        </w:rPr>
        <w:t>ü</w:t>
      </w:r>
      <w:r w:rsidR="0051573F">
        <w:rPr>
          <w:bCs/>
          <w:sz w:val="24"/>
        </w:rPr>
        <w:t xml:space="preserve"> </w:t>
      </w:r>
      <w:r w:rsidR="001C7D66">
        <w:rPr>
          <w:bCs/>
          <w:sz w:val="24"/>
        </w:rPr>
        <w:t>ise önümüzdeki 3 ayda satış fi</w:t>
      </w:r>
      <w:r w:rsidR="008F6254">
        <w:rPr>
          <w:bCs/>
          <w:sz w:val="24"/>
        </w:rPr>
        <w:t>yatlarının artacağını ifade etmiştir</w:t>
      </w:r>
      <w:r w:rsidR="001C7D66">
        <w:rPr>
          <w:bCs/>
          <w:sz w:val="24"/>
        </w:rPr>
        <w:t>.</w:t>
      </w:r>
      <w:r w:rsidR="008F6254">
        <w:rPr>
          <w:bCs/>
          <w:sz w:val="24"/>
        </w:rPr>
        <w:t xml:space="preserve"> </w:t>
      </w:r>
    </w:p>
    <w:p w:rsidR="003F2A84" w:rsidRDefault="003F2A84" w:rsidP="003F2A84">
      <w:pPr>
        <w:tabs>
          <w:tab w:val="left" w:pos="8258"/>
        </w:tabs>
        <w:spacing w:after="0"/>
        <w:jc w:val="both"/>
      </w:pPr>
      <w:r w:rsidRPr="003127E7">
        <w:rPr>
          <w:b/>
        </w:rPr>
        <w:t>Şekil-</w:t>
      </w:r>
      <w:r w:rsidR="0000109B">
        <w:rPr>
          <w:b/>
        </w:rPr>
        <w:t>1</w:t>
      </w:r>
      <w:r w:rsidR="00DD470B">
        <w:rPr>
          <w:b/>
        </w:rPr>
        <w:t>2</w:t>
      </w:r>
      <w:r w:rsidRPr="003127E7">
        <w:rPr>
          <w:b/>
        </w:rPr>
        <w:t>.</w:t>
      </w:r>
      <w:r w:rsidRPr="003127E7">
        <w:t xml:space="preserve"> </w:t>
      </w:r>
      <w:r w:rsidR="00102D6A">
        <w:t>Konya’da m</w:t>
      </w:r>
      <w:r>
        <w:t>aliyet ve satış fiyatı (%) (</w:t>
      </w:r>
      <w:r w:rsidR="00E54D25">
        <w:t>Nisan</w:t>
      </w:r>
      <w:r w:rsidR="005916B2">
        <w:t xml:space="preserve"> </w:t>
      </w:r>
      <w:r w:rsidR="00CA152B">
        <w:t>2016</w:t>
      </w:r>
      <w:r>
        <w:t>)</w:t>
      </w:r>
    </w:p>
    <w:p w:rsidR="00E478E6" w:rsidRPr="001D4809" w:rsidRDefault="00E54D25" w:rsidP="001D4809">
      <w:pPr>
        <w:tabs>
          <w:tab w:val="left" w:pos="8258"/>
        </w:tabs>
        <w:spacing w:after="0"/>
        <w:jc w:val="both"/>
      </w:pPr>
      <w:r>
        <w:rPr>
          <w:noProof/>
        </w:rPr>
        <w:drawing>
          <wp:inline distT="0" distB="0" distL="0" distR="0" wp14:anchorId="146B5FA5" wp14:editId="7640E6C0">
            <wp:extent cx="5721350" cy="2647950"/>
            <wp:effectExtent l="0" t="0" r="12700" b="1905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07735" w:rsidRDefault="00507735" w:rsidP="00671F67">
      <w:pPr>
        <w:pStyle w:val="Balk2"/>
        <w:spacing w:before="0" w:after="240" w:line="240" w:lineRule="auto"/>
        <w:jc w:val="both"/>
        <w:rPr>
          <w:rFonts w:asciiTheme="minorHAnsi" w:hAnsiTheme="minorHAnsi" w:cs="Arial"/>
          <w:color w:val="595959" w:themeColor="text1" w:themeTint="A6"/>
          <w:sz w:val="28"/>
        </w:rPr>
      </w:pPr>
    </w:p>
    <w:p w:rsidR="00BE24B6" w:rsidRDefault="00BE24B6" w:rsidP="00671F67">
      <w:pPr>
        <w:pStyle w:val="Balk2"/>
        <w:spacing w:before="0" w:after="240" w:line="240" w:lineRule="auto"/>
        <w:jc w:val="both"/>
        <w:rPr>
          <w:rFonts w:asciiTheme="minorHAnsi" w:hAnsiTheme="minorHAnsi" w:cs="Arial"/>
          <w:color w:val="595959" w:themeColor="text1" w:themeTint="A6"/>
          <w:sz w:val="28"/>
        </w:rPr>
      </w:pPr>
    </w:p>
    <w:p w:rsidR="00BE24B6" w:rsidRDefault="00BE24B6" w:rsidP="00671F67">
      <w:pPr>
        <w:pStyle w:val="Balk2"/>
        <w:spacing w:before="0" w:after="240" w:line="240" w:lineRule="auto"/>
        <w:jc w:val="both"/>
        <w:rPr>
          <w:rFonts w:asciiTheme="minorHAnsi" w:hAnsiTheme="minorHAnsi" w:cs="Arial"/>
          <w:color w:val="595959" w:themeColor="text1" w:themeTint="A6"/>
          <w:sz w:val="28"/>
        </w:rPr>
      </w:pPr>
    </w:p>
    <w:p w:rsidR="00BE24B6" w:rsidRDefault="00BE24B6" w:rsidP="00671F67">
      <w:pPr>
        <w:pStyle w:val="Balk2"/>
        <w:spacing w:before="0" w:after="240" w:line="240" w:lineRule="auto"/>
        <w:jc w:val="both"/>
        <w:rPr>
          <w:rFonts w:asciiTheme="minorHAnsi" w:hAnsiTheme="minorHAnsi" w:cs="Arial"/>
          <w:color w:val="595959" w:themeColor="text1" w:themeTint="A6"/>
          <w:sz w:val="28"/>
        </w:rPr>
      </w:pPr>
    </w:p>
    <w:p w:rsidR="00BE24B6" w:rsidRDefault="00BE24B6" w:rsidP="00671F67">
      <w:pPr>
        <w:pStyle w:val="Balk2"/>
        <w:spacing w:before="0" w:after="240" w:line="240" w:lineRule="auto"/>
        <w:jc w:val="both"/>
        <w:rPr>
          <w:rFonts w:asciiTheme="minorHAnsi" w:hAnsiTheme="minorHAnsi" w:cs="Arial"/>
          <w:color w:val="595959" w:themeColor="text1" w:themeTint="A6"/>
          <w:sz w:val="28"/>
        </w:rPr>
      </w:pPr>
    </w:p>
    <w:p w:rsidR="00BE24B6" w:rsidRDefault="00BE24B6" w:rsidP="00671F67">
      <w:pPr>
        <w:pStyle w:val="Balk2"/>
        <w:spacing w:before="0" w:after="240" w:line="240" w:lineRule="auto"/>
        <w:jc w:val="both"/>
        <w:rPr>
          <w:rFonts w:asciiTheme="minorHAnsi" w:hAnsiTheme="minorHAnsi" w:cs="Arial"/>
          <w:color w:val="595959" w:themeColor="text1" w:themeTint="A6"/>
          <w:sz w:val="28"/>
        </w:rPr>
      </w:pPr>
    </w:p>
    <w:p w:rsidR="00BE24B6" w:rsidRDefault="00BE24B6" w:rsidP="00671F67">
      <w:pPr>
        <w:pStyle w:val="Balk2"/>
        <w:spacing w:before="0" w:after="240" w:line="240" w:lineRule="auto"/>
        <w:jc w:val="both"/>
        <w:rPr>
          <w:rFonts w:asciiTheme="minorHAnsi" w:hAnsiTheme="minorHAnsi" w:cs="Arial"/>
          <w:color w:val="595959" w:themeColor="text1" w:themeTint="A6"/>
          <w:sz w:val="28"/>
        </w:rPr>
      </w:pPr>
    </w:p>
    <w:p w:rsidR="00BE24B6" w:rsidRPr="00BE24B6" w:rsidRDefault="00BE24B6" w:rsidP="00BE24B6"/>
    <w:p w:rsidR="00CA32C4" w:rsidRDefault="00CA32C4" w:rsidP="00671F67">
      <w:pPr>
        <w:pStyle w:val="Balk2"/>
        <w:spacing w:before="0" w:after="240" w:line="240" w:lineRule="auto"/>
        <w:jc w:val="both"/>
        <w:rPr>
          <w:rFonts w:asciiTheme="minorHAnsi" w:hAnsiTheme="minorHAnsi" w:cs="Arial"/>
          <w:color w:val="595959" w:themeColor="text1" w:themeTint="A6"/>
          <w:sz w:val="28"/>
        </w:rPr>
      </w:pPr>
    </w:p>
    <w:p w:rsidR="00A303ED" w:rsidRPr="00A303ED" w:rsidRDefault="00A303ED" w:rsidP="00A303ED"/>
    <w:p w:rsidR="000314DF" w:rsidRPr="00555210" w:rsidRDefault="000314DF" w:rsidP="000314DF">
      <w:pPr>
        <w:pStyle w:val="Balk2"/>
        <w:spacing w:before="0" w:after="240" w:line="240" w:lineRule="auto"/>
        <w:jc w:val="both"/>
        <w:rPr>
          <w:rFonts w:asciiTheme="minorHAnsi" w:hAnsiTheme="minorHAnsi" w:cs="Arial"/>
          <w:color w:val="595959" w:themeColor="text1" w:themeTint="A6"/>
          <w:sz w:val="28"/>
        </w:rPr>
      </w:pPr>
      <w:r w:rsidRPr="00555210">
        <w:rPr>
          <w:rFonts w:asciiTheme="minorHAnsi" w:hAnsiTheme="minorHAnsi" w:cs="Arial"/>
          <w:color w:val="595959" w:themeColor="text1" w:themeTint="A6"/>
          <w:sz w:val="28"/>
        </w:rPr>
        <w:lastRenderedPageBreak/>
        <w:t xml:space="preserve">Konya imalat sanayinin gelecek dönem </w:t>
      </w:r>
      <w:r w:rsidR="00555210" w:rsidRPr="00555210">
        <w:rPr>
          <w:rFonts w:asciiTheme="minorHAnsi" w:hAnsiTheme="minorHAnsi" w:cs="Arial"/>
          <w:color w:val="595959" w:themeColor="text1" w:themeTint="A6"/>
          <w:sz w:val="28"/>
        </w:rPr>
        <w:t xml:space="preserve">sipariş </w:t>
      </w:r>
      <w:r w:rsidRPr="00555210">
        <w:rPr>
          <w:rFonts w:asciiTheme="minorHAnsi" w:hAnsiTheme="minorHAnsi" w:cs="Arial"/>
          <w:color w:val="595959" w:themeColor="text1" w:themeTint="A6"/>
          <w:sz w:val="28"/>
        </w:rPr>
        <w:t>beklentileri, Türkiye genelinden daha yüksek:</w:t>
      </w:r>
    </w:p>
    <w:p w:rsidR="00671F67" w:rsidRDefault="00A303ED" w:rsidP="006802D9">
      <w:pPr>
        <w:tabs>
          <w:tab w:val="left" w:pos="8258"/>
        </w:tabs>
        <w:spacing w:after="0"/>
        <w:jc w:val="both"/>
        <w:rPr>
          <w:sz w:val="24"/>
        </w:rPr>
      </w:pPr>
      <w:r w:rsidRPr="004F3158">
        <w:rPr>
          <w:sz w:val="24"/>
        </w:rPr>
        <w:t>Konya İmalat S</w:t>
      </w:r>
      <w:r w:rsidR="00671F67" w:rsidRPr="004F3158">
        <w:rPr>
          <w:sz w:val="24"/>
        </w:rPr>
        <w:t xml:space="preserve">anayi </w:t>
      </w:r>
      <w:r w:rsidRPr="004F3158">
        <w:rPr>
          <w:sz w:val="24"/>
        </w:rPr>
        <w:t>G</w:t>
      </w:r>
      <w:r w:rsidR="00671F67" w:rsidRPr="004F3158">
        <w:rPr>
          <w:sz w:val="24"/>
        </w:rPr>
        <w:t xml:space="preserve">üven </w:t>
      </w:r>
      <w:r w:rsidRPr="004F3158">
        <w:rPr>
          <w:sz w:val="24"/>
        </w:rPr>
        <w:t>E</w:t>
      </w:r>
      <w:r w:rsidR="00671F67" w:rsidRPr="004F3158">
        <w:rPr>
          <w:sz w:val="24"/>
        </w:rPr>
        <w:t>ndeksi sorular bazında incelendiğinde</w:t>
      </w:r>
      <w:r w:rsidR="001D4809" w:rsidRPr="004F3158">
        <w:rPr>
          <w:sz w:val="24"/>
        </w:rPr>
        <w:t>,</w:t>
      </w:r>
      <w:r w:rsidR="00527E93" w:rsidRPr="004F3158">
        <w:rPr>
          <w:sz w:val="24"/>
        </w:rPr>
        <w:t xml:space="preserve"> </w:t>
      </w:r>
      <w:r w:rsidR="000314DF" w:rsidRPr="004F3158">
        <w:rPr>
          <w:sz w:val="24"/>
        </w:rPr>
        <w:t>g</w:t>
      </w:r>
      <w:r w:rsidR="00555210" w:rsidRPr="004F3158">
        <w:rPr>
          <w:sz w:val="24"/>
        </w:rPr>
        <w:t>eçmiş dönem ve mevcut dönem tüm</w:t>
      </w:r>
      <w:r w:rsidR="000E66DD" w:rsidRPr="004F3158">
        <w:rPr>
          <w:sz w:val="24"/>
        </w:rPr>
        <w:t xml:space="preserve"> göstergelerde</w:t>
      </w:r>
      <w:r w:rsidR="00527E93" w:rsidRPr="004F3158">
        <w:rPr>
          <w:sz w:val="24"/>
        </w:rPr>
        <w:t xml:space="preserve"> </w:t>
      </w:r>
      <w:r w:rsidR="00E933F1" w:rsidRPr="004F3158">
        <w:rPr>
          <w:sz w:val="24"/>
        </w:rPr>
        <w:t xml:space="preserve">geçen </w:t>
      </w:r>
      <w:r w:rsidR="004253C0" w:rsidRPr="004F3158">
        <w:rPr>
          <w:sz w:val="24"/>
        </w:rPr>
        <w:t>yıla</w:t>
      </w:r>
      <w:r w:rsidR="00527E93" w:rsidRPr="004F3158">
        <w:rPr>
          <w:sz w:val="24"/>
        </w:rPr>
        <w:t xml:space="preserve"> göre </w:t>
      </w:r>
      <w:r w:rsidR="00555210" w:rsidRPr="004F3158">
        <w:rPr>
          <w:sz w:val="24"/>
        </w:rPr>
        <w:t>düşüş</w:t>
      </w:r>
      <w:r w:rsidR="000314DF" w:rsidRPr="004F3158">
        <w:rPr>
          <w:sz w:val="24"/>
        </w:rPr>
        <w:t xml:space="preserve"> yaşandığı</w:t>
      </w:r>
      <w:r w:rsidR="00527E93" w:rsidRPr="004F3158">
        <w:rPr>
          <w:sz w:val="24"/>
        </w:rPr>
        <w:t xml:space="preserve"> görülmektedir</w:t>
      </w:r>
      <w:r w:rsidR="00BD699F" w:rsidRPr="004F3158">
        <w:rPr>
          <w:sz w:val="24"/>
        </w:rPr>
        <w:t>.</w:t>
      </w:r>
      <w:r w:rsidR="00A31F29" w:rsidRPr="004F3158">
        <w:rPr>
          <w:sz w:val="24"/>
        </w:rPr>
        <w:t xml:space="preserve"> </w:t>
      </w:r>
      <w:r w:rsidR="00036350" w:rsidRPr="004F3158">
        <w:rPr>
          <w:sz w:val="24"/>
        </w:rPr>
        <w:t xml:space="preserve">Gelecek dönemdeki </w:t>
      </w:r>
      <w:r w:rsidR="00555210" w:rsidRPr="004F3158">
        <w:rPr>
          <w:sz w:val="24"/>
        </w:rPr>
        <w:t>sipariş göstergelerinde</w:t>
      </w:r>
      <w:r w:rsidR="00036350" w:rsidRPr="004F3158">
        <w:rPr>
          <w:sz w:val="24"/>
        </w:rPr>
        <w:t xml:space="preserve"> Konya, Türkiye genelinden daha iyi performans sergilemiştir</w:t>
      </w:r>
      <w:r w:rsidR="00D03A57" w:rsidRPr="004F3158">
        <w:rPr>
          <w:sz w:val="24"/>
        </w:rPr>
        <w:t>.</w:t>
      </w:r>
    </w:p>
    <w:p w:rsidR="00A303ED" w:rsidRPr="00A303ED" w:rsidRDefault="00A303ED" w:rsidP="006802D9">
      <w:pPr>
        <w:tabs>
          <w:tab w:val="left" w:pos="8258"/>
        </w:tabs>
        <w:spacing w:after="0"/>
        <w:jc w:val="both"/>
        <w:rPr>
          <w:sz w:val="24"/>
        </w:rPr>
      </w:pPr>
    </w:p>
    <w:p w:rsidR="00147A0B" w:rsidRDefault="00147A0B" w:rsidP="00147A0B">
      <w:pPr>
        <w:tabs>
          <w:tab w:val="left" w:pos="8258"/>
        </w:tabs>
        <w:spacing w:after="0"/>
        <w:jc w:val="both"/>
      </w:pPr>
      <w:r>
        <w:rPr>
          <w:b/>
        </w:rPr>
        <w:t>Tablo</w:t>
      </w:r>
      <w:r w:rsidRPr="003127E7">
        <w:rPr>
          <w:b/>
        </w:rPr>
        <w:t>-</w:t>
      </w:r>
      <w:r>
        <w:rPr>
          <w:b/>
        </w:rPr>
        <w:t>2</w:t>
      </w:r>
      <w:r w:rsidRPr="00F31BC3">
        <w:rPr>
          <w:rStyle w:val="DipnotBavurusu"/>
          <w:rFonts w:cs="Arial"/>
          <w:b/>
          <w:szCs w:val="20"/>
        </w:rPr>
        <w:footnoteReference w:id="1"/>
      </w:r>
      <w:r w:rsidRPr="003127E7">
        <w:rPr>
          <w:b/>
        </w:rPr>
        <w:t>.</w:t>
      </w:r>
      <w:r w:rsidRPr="003127E7">
        <w:t xml:space="preserve"> </w:t>
      </w:r>
      <w:r w:rsidR="00071D69">
        <w:t>İmalat Sanayi Güven Endeksi Göstergeleri</w:t>
      </w:r>
      <w:r>
        <w:t xml:space="preserve"> balans değerleri (</w:t>
      </w:r>
      <w:r w:rsidR="005C176F">
        <w:t>Nisan</w:t>
      </w:r>
      <w:r w:rsidR="00122133">
        <w:t xml:space="preserve"> </w:t>
      </w:r>
      <w:r w:rsidR="00157CB6">
        <w:t>2016</w:t>
      </w:r>
      <w:r>
        <w:t>)</w:t>
      </w:r>
    </w:p>
    <w:tbl>
      <w:tblPr>
        <w:tblStyle w:val="OrtaListe2-Vurgu5"/>
        <w:tblW w:w="9464" w:type="dxa"/>
        <w:tblLook w:val="04A0" w:firstRow="1" w:lastRow="0" w:firstColumn="1" w:lastColumn="0" w:noHBand="0" w:noVBand="1"/>
      </w:tblPr>
      <w:tblGrid>
        <w:gridCol w:w="3959"/>
        <w:gridCol w:w="1252"/>
        <w:gridCol w:w="1560"/>
        <w:gridCol w:w="850"/>
        <w:gridCol w:w="992"/>
        <w:gridCol w:w="851"/>
      </w:tblGrid>
      <w:tr w:rsidR="009A53E1" w:rsidTr="009A53E1">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3959" w:type="dxa"/>
            <w:vAlign w:val="center"/>
          </w:tcPr>
          <w:p w:rsidR="009A53E1" w:rsidRPr="00102D6A" w:rsidRDefault="009A53E1" w:rsidP="00950BB5">
            <w:pPr>
              <w:rPr>
                <w:rFonts w:ascii="Calibri" w:hAnsi="Calibri"/>
                <w:b/>
                <w:color w:val="000000"/>
                <w:sz w:val="22"/>
                <w:szCs w:val="22"/>
              </w:rPr>
            </w:pPr>
            <w:r w:rsidRPr="00102D6A">
              <w:rPr>
                <w:rFonts w:ascii="Calibri" w:hAnsi="Calibri"/>
                <w:b/>
                <w:color w:val="000000"/>
                <w:sz w:val="22"/>
                <w:szCs w:val="22"/>
              </w:rPr>
              <w:t>Balans değerleri</w:t>
            </w:r>
            <w:r>
              <w:rPr>
                <w:rFonts w:ascii="Calibri" w:hAnsi="Calibri"/>
                <w:b/>
                <w:color w:val="000000"/>
                <w:sz w:val="22"/>
                <w:szCs w:val="22"/>
              </w:rPr>
              <w:t xml:space="preserve"> (Olumlu – Olumsuz)</w:t>
            </w:r>
          </w:p>
        </w:tc>
        <w:tc>
          <w:tcPr>
            <w:tcW w:w="1252" w:type="dxa"/>
          </w:tcPr>
          <w:p w:rsidR="009A53E1" w:rsidRPr="00071D69" w:rsidRDefault="009A53E1" w:rsidP="00950BB5">
            <w:pPr>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sz w:val="22"/>
                <w:szCs w:val="22"/>
              </w:rPr>
            </w:pPr>
            <w:r w:rsidRPr="005F14B5">
              <w:rPr>
                <w:rFonts w:ascii="Calibri" w:hAnsi="Calibri"/>
                <w:b/>
                <w:color w:val="000000"/>
                <w:sz w:val="22"/>
                <w:szCs w:val="22"/>
              </w:rPr>
              <w:t xml:space="preserve">Bir önceki aya göre değişim </w:t>
            </w:r>
            <w:r>
              <w:rPr>
                <w:rFonts w:ascii="Calibri" w:hAnsi="Calibri"/>
                <w:b/>
                <w:color w:val="000000"/>
                <w:sz w:val="22"/>
                <w:szCs w:val="22"/>
              </w:rPr>
              <w:t>(Konya)</w:t>
            </w:r>
          </w:p>
        </w:tc>
        <w:tc>
          <w:tcPr>
            <w:tcW w:w="1560" w:type="dxa"/>
          </w:tcPr>
          <w:p w:rsidR="009A53E1" w:rsidRPr="00102D6A" w:rsidRDefault="009A53E1" w:rsidP="009A53E1">
            <w:pPr>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rPr>
            </w:pPr>
            <w:r w:rsidRPr="005F14B5">
              <w:rPr>
                <w:rFonts w:ascii="Calibri" w:hAnsi="Calibri"/>
                <w:b/>
                <w:color w:val="000000"/>
                <w:sz w:val="22"/>
                <w:szCs w:val="22"/>
              </w:rPr>
              <w:t xml:space="preserve">Bir önceki </w:t>
            </w:r>
            <w:r>
              <w:rPr>
                <w:rFonts w:ascii="Calibri" w:hAnsi="Calibri"/>
                <w:b/>
                <w:color w:val="000000"/>
                <w:sz w:val="22"/>
                <w:szCs w:val="22"/>
              </w:rPr>
              <w:t>yılın aynı ayına</w:t>
            </w:r>
            <w:r w:rsidRPr="005F14B5">
              <w:rPr>
                <w:rFonts w:ascii="Calibri" w:hAnsi="Calibri"/>
                <w:b/>
                <w:color w:val="000000"/>
                <w:sz w:val="22"/>
                <w:szCs w:val="22"/>
              </w:rPr>
              <w:t xml:space="preserve"> göre değişim </w:t>
            </w:r>
            <w:r>
              <w:rPr>
                <w:rFonts w:ascii="Calibri" w:hAnsi="Calibri"/>
                <w:b/>
                <w:color w:val="000000"/>
                <w:sz w:val="22"/>
                <w:szCs w:val="22"/>
              </w:rPr>
              <w:t>(Konya)</w:t>
            </w:r>
          </w:p>
        </w:tc>
        <w:tc>
          <w:tcPr>
            <w:tcW w:w="850" w:type="dxa"/>
            <w:vAlign w:val="center"/>
          </w:tcPr>
          <w:p w:rsidR="009A53E1" w:rsidRPr="00102D6A" w:rsidRDefault="009A53E1" w:rsidP="009A53E1">
            <w:pPr>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sz w:val="22"/>
                <w:szCs w:val="22"/>
              </w:rPr>
            </w:pPr>
            <w:r w:rsidRPr="00102D6A">
              <w:rPr>
                <w:rFonts w:ascii="Calibri" w:hAnsi="Calibri"/>
                <w:b/>
                <w:color w:val="000000"/>
                <w:sz w:val="22"/>
                <w:szCs w:val="22"/>
              </w:rPr>
              <w:t>Konya</w:t>
            </w:r>
            <w:r>
              <w:rPr>
                <w:rFonts w:ascii="Calibri" w:hAnsi="Calibri"/>
                <w:b/>
                <w:color w:val="000000"/>
                <w:sz w:val="22"/>
                <w:szCs w:val="22"/>
              </w:rPr>
              <w:t xml:space="preserve"> </w:t>
            </w:r>
          </w:p>
        </w:tc>
        <w:tc>
          <w:tcPr>
            <w:tcW w:w="992" w:type="dxa"/>
            <w:vAlign w:val="center"/>
          </w:tcPr>
          <w:p w:rsidR="009A53E1" w:rsidRPr="00102D6A" w:rsidRDefault="009A53E1" w:rsidP="009A53E1">
            <w:pPr>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sz w:val="22"/>
                <w:szCs w:val="22"/>
              </w:rPr>
            </w:pPr>
            <w:r w:rsidRPr="00102D6A">
              <w:rPr>
                <w:rFonts w:ascii="Calibri" w:hAnsi="Calibri"/>
                <w:b/>
                <w:color w:val="000000"/>
                <w:sz w:val="22"/>
                <w:szCs w:val="22"/>
              </w:rPr>
              <w:t>Türkiye</w:t>
            </w:r>
          </w:p>
        </w:tc>
        <w:tc>
          <w:tcPr>
            <w:tcW w:w="851" w:type="dxa"/>
            <w:vAlign w:val="center"/>
          </w:tcPr>
          <w:p w:rsidR="009A53E1" w:rsidRPr="009A53E1" w:rsidRDefault="009A53E1" w:rsidP="009A53E1">
            <w:pPr>
              <w:jc w:val="center"/>
              <w:cnfStyle w:val="100000000000" w:firstRow="1" w:lastRow="0" w:firstColumn="0" w:lastColumn="0" w:oddVBand="0" w:evenVBand="0" w:oddHBand="0" w:evenHBand="0" w:firstRowFirstColumn="0" w:firstRowLastColumn="0" w:lastRowFirstColumn="0" w:lastRowLastColumn="0"/>
              <w:rPr>
                <w:rFonts w:ascii="Calibri" w:hAnsi="Calibri"/>
                <w:b/>
                <w:color w:val="000000"/>
                <w:sz w:val="22"/>
                <w:szCs w:val="22"/>
              </w:rPr>
            </w:pPr>
            <w:r>
              <w:rPr>
                <w:rFonts w:ascii="Calibri" w:hAnsi="Calibri"/>
                <w:b/>
                <w:color w:val="000000"/>
                <w:sz w:val="22"/>
                <w:szCs w:val="22"/>
              </w:rPr>
              <w:t>AB-28</w:t>
            </w: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Geçtiğimiz 3 aya göre üretim</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7,0</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-22</w:t>
            </w:r>
            <w:r w:rsidR="00A9302A">
              <w:rPr>
                <w:rFonts w:ascii="Calibri" w:hAnsi="Calibri"/>
                <w:color w:val="000000"/>
              </w:rPr>
              <w:t>,7</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-45</w:t>
            </w:r>
            <w:r w:rsidR="00A9302A">
              <w:rPr>
                <w:rFonts w:ascii="Calibri" w:hAnsi="Calibri"/>
                <w:b/>
                <w:color w:val="000000"/>
              </w:rPr>
              <w:t>,7</w:t>
            </w:r>
          </w:p>
        </w:tc>
        <w:tc>
          <w:tcPr>
            <w:tcW w:w="99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4,5</w:t>
            </w:r>
          </w:p>
        </w:tc>
        <w:tc>
          <w:tcPr>
            <w:tcW w:w="851"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4,5</w:t>
            </w: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Önümüzdeki 3 ayda üretim</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-15,7</w:t>
            </w:r>
          </w:p>
        </w:tc>
        <w:tc>
          <w:tcPr>
            <w:tcW w:w="1560"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3,3</w:t>
            </w:r>
          </w:p>
        </w:tc>
        <w:tc>
          <w:tcPr>
            <w:tcW w:w="850" w:type="dxa"/>
            <w:vAlign w:val="center"/>
          </w:tcPr>
          <w:p w:rsidR="0077346B" w:rsidRPr="00157CB6"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47,0</w:t>
            </w:r>
          </w:p>
        </w:tc>
        <w:tc>
          <w:tcPr>
            <w:tcW w:w="99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31,4</w:t>
            </w:r>
          </w:p>
        </w:tc>
        <w:tc>
          <w:tcPr>
            <w:tcW w:w="851" w:type="dxa"/>
            <w:vAlign w:val="center"/>
          </w:tcPr>
          <w:p w:rsidR="0077346B" w:rsidRDefault="00C9315E"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15,4</w:t>
            </w: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Şu andaki mevcut stok düzeyi</w:t>
            </w:r>
            <w:r w:rsidRPr="00F31BC3">
              <w:rPr>
                <w:rStyle w:val="DipnotBavurusu"/>
                <w:rFonts w:asciiTheme="minorHAnsi" w:hAnsiTheme="minorHAnsi" w:cs="Arial"/>
                <w:b/>
                <w:szCs w:val="20"/>
              </w:rPr>
              <w:footnoteReference w:id="2"/>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5,4</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-3,3</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16,7</w:t>
            </w:r>
          </w:p>
        </w:tc>
        <w:tc>
          <w:tcPr>
            <w:tcW w:w="99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-6,8</w:t>
            </w:r>
          </w:p>
        </w:tc>
        <w:tc>
          <w:tcPr>
            <w:tcW w:w="851"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-6,3</w:t>
            </w: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Default="0077346B" w:rsidP="0036241D">
            <w:pPr>
              <w:rPr>
                <w:rFonts w:ascii="Calibri" w:hAnsi="Calibri"/>
                <w:color w:val="000000"/>
              </w:rPr>
            </w:pPr>
            <w:r w:rsidRPr="00102D6A">
              <w:rPr>
                <w:rFonts w:ascii="Calibri" w:hAnsi="Calibri"/>
                <w:b/>
                <w:color w:val="000000"/>
              </w:rPr>
              <w:t>Geçtiğimiz 3 aya göre iç piyasa siparişleri</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7,0</w:t>
            </w:r>
          </w:p>
        </w:tc>
        <w:tc>
          <w:tcPr>
            <w:tcW w:w="1560"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-22,6</w:t>
            </w:r>
          </w:p>
        </w:tc>
        <w:tc>
          <w:tcPr>
            <w:tcW w:w="850" w:type="dxa"/>
            <w:vAlign w:val="center"/>
          </w:tcPr>
          <w:p w:rsidR="0077346B" w:rsidRPr="00157CB6"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-44</w:t>
            </w:r>
            <w:r w:rsidR="00A9302A">
              <w:rPr>
                <w:rFonts w:ascii="Calibri" w:hAnsi="Calibri"/>
                <w:b/>
                <w:color w:val="000000"/>
              </w:rPr>
              <w:t>,3</w:t>
            </w:r>
          </w:p>
        </w:tc>
        <w:tc>
          <w:tcPr>
            <w:tcW w:w="99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6,1</w:t>
            </w:r>
          </w:p>
        </w:tc>
        <w:tc>
          <w:tcPr>
            <w:tcW w:w="851" w:type="dxa"/>
            <w:vAlign w:val="center"/>
          </w:tcPr>
          <w:p w:rsidR="0077346B" w:rsidRDefault="0077346B"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Geçtiğimiz 3 aya göre ihracat siparişleri</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-6,3</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-26,1</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-47,5</w:t>
            </w:r>
          </w:p>
        </w:tc>
        <w:tc>
          <w:tcPr>
            <w:tcW w:w="99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-4,5</w:t>
            </w:r>
          </w:p>
        </w:tc>
        <w:tc>
          <w:tcPr>
            <w:tcW w:w="851" w:type="dxa"/>
            <w:vAlign w:val="center"/>
          </w:tcPr>
          <w:p w:rsidR="0077346B" w:rsidRDefault="0077346B"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Geçtiğimiz 3 aya göre toplam siparişler</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w:t>
            </w:r>
            <w:r w:rsidR="0077346B">
              <w:rPr>
                <w:rFonts w:ascii="Calibri" w:hAnsi="Calibri"/>
                <w:color w:val="000000"/>
              </w:rPr>
              <w:t>,0</w:t>
            </w:r>
          </w:p>
        </w:tc>
        <w:tc>
          <w:tcPr>
            <w:tcW w:w="1560"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-23</w:t>
            </w:r>
            <w:r w:rsidR="00A9302A">
              <w:rPr>
                <w:rFonts w:ascii="Calibri" w:hAnsi="Calibri"/>
                <w:color w:val="000000"/>
              </w:rPr>
              <w:t>,4</w:t>
            </w:r>
          </w:p>
        </w:tc>
        <w:tc>
          <w:tcPr>
            <w:tcW w:w="850" w:type="dxa"/>
            <w:vAlign w:val="center"/>
          </w:tcPr>
          <w:p w:rsidR="0077346B" w:rsidRPr="00157CB6"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-44</w:t>
            </w:r>
            <w:r w:rsidR="0077346B" w:rsidRPr="00157CB6">
              <w:rPr>
                <w:rFonts w:ascii="Calibri" w:hAnsi="Calibri"/>
                <w:b/>
                <w:color w:val="000000"/>
              </w:rPr>
              <w:t>,7</w:t>
            </w:r>
          </w:p>
        </w:tc>
        <w:tc>
          <w:tcPr>
            <w:tcW w:w="99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5,3</w:t>
            </w:r>
          </w:p>
        </w:tc>
        <w:tc>
          <w:tcPr>
            <w:tcW w:w="851" w:type="dxa"/>
            <w:vAlign w:val="center"/>
          </w:tcPr>
          <w:p w:rsidR="0077346B" w:rsidRDefault="0077346B"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Şu andaki mevcut iç piyasa siparişleri</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r w:rsidR="0077346B">
              <w:rPr>
                <w:rFonts w:ascii="Calibri" w:hAnsi="Calibri"/>
                <w:color w:val="000000"/>
              </w:rPr>
              <w:t>,7</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-18,7</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-34,7</w:t>
            </w:r>
          </w:p>
        </w:tc>
        <w:tc>
          <w:tcPr>
            <w:tcW w:w="99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-5,4</w:t>
            </w:r>
          </w:p>
        </w:tc>
        <w:tc>
          <w:tcPr>
            <w:tcW w:w="851" w:type="dxa"/>
            <w:vAlign w:val="center"/>
          </w:tcPr>
          <w:p w:rsidR="0077346B" w:rsidRDefault="0077346B"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Şu andaki toplam ihracat siparişleri</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-9,4</w:t>
            </w:r>
          </w:p>
        </w:tc>
        <w:tc>
          <w:tcPr>
            <w:tcW w:w="1560"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-30,1</w:t>
            </w:r>
          </w:p>
        </w:tc>
        <w:tc>
          <w:tcPr>
            <w:tcW w:w="850" w:type="dxa"/>
            <w:vAlign w:val="center"/>
          </w:tcPr>
          <w:p w:rsidR="0077346B" w:rsidRPr="00157CB6"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-49,4</w:t>
            </w:r>
          </w:p>
        </w:tc>
        <w:tc>
          <w:tcPr>
            <w:tcW w:w="99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-12,6</w:t>
            </w:r>
          </w:p>
        </w:tc>
        <w:tc>
          <w:tcPr>
            <w:tcW w:w="851" w:type="dxa"/>
            <w:vAlign w:val="center"/>
          </w:tcPr>
          <w:p w:rsidR="0077346B" w:rsidRDefault="00C9315E"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-12,5</w:t>
            </w: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Şu andaki toplam siparişler</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4,3</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-8,0</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-28,7</w:t>
            </w:r>
          </w:p>
        </w:tc>
        <w:tc>
          <w:tcPr>
            <w:tcW w:w="99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-8,2</w:t>
            </w:r>
          </w:p>
        </w:tc>
        <w:tc>
          <w:tcPr>
            <w:tcW w:w="851"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-11,6</w:t>
            </w: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Önümüzdeki 3 ayda iç piyasa siparişleri</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-13,0</w:t>
            </w:r>
          </w:p>
        </w:tc>
        <w:tc>
          <w:tcPr>
            <w:tcW w:w="1560"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4,7</w:t>
            </w:r>
          </w:p>
        </w:tc>
        <w:tc>
          <w:tcPr>
            <w:tcW w:w="850" w:type="dxa"/>
            <w:vAlign w:val="center"/>
          </w:tcPr>
          <w:p w:rsidR="0077346B" w:rsidRPr="00157CB6"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46</w:t>
            </w:r>
            <w:r w:rsidR="00A9302A">
              <w:rPr>
                <w:rFonts w:ascii="Calibri" w:hAnsi="Calibri"/>
                <w:b/>
                <w:color w:val="000000"/>
              </w:rPr>
              <w:t>,7</w:t>
            </w:r>
          </w:p>
        </w:tc>
        <w:tc>
          <w:tcPr>
            <w:tcW w:w="99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36,9</w:t>
            </w:r>
          </w:p>
        </w:tc>
        <w:tc>
          <w:tcPr>
            <w:tcW w:w="851" w:type="dxa"/>
            <w:vAlign w:val="center"/>
          </w:tcPr>
          <w:p w:rsidR="0077346B" w:rsidRDefault="0077346B"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Önümüzdeki 3 ayda ihracat siparişleri</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-8,4</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w:t>
            </w:r>
            <w:r w:rsidR="00A9302A">
              <w:rPr>
                <w:rFonts w:ascii="Calibri" w:hAnsi="Calibri"/>
                <w:color w:val="000000"/>
              </w:rPr>
              <w:t>,8</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45,0</w:t>
            </w:r>
          </w:p>
        </w:tc>
        <w:tc>
          <w:tcPr>
            <w:tcW w:w="99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30,5</w:t>
            </w:r>
          </w:p>
        </w:tc>
        <w:tc>
          <w:tcPr>
            <w:tcW w:w="851"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12,6</w:t>
            </w: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Önümüzdeki 3 ayda toplam siparişler</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w:t>
            </w:r>
            <w:r w:rsidR="006829F9">
              <w:rPr>
                <w:rFonts w:ascii="Calibri" w:hAnsi="Calibri"/>
                <w:color w:val="000000"/>
              </w:rPr>
              <w:t>,7</w:t>
            </w:r>
          </w:p>
        </w:tc>
        <w:tc>
          <w:tcPr>
            <w:tcW w:w="1560" w:type="dxa"/>
            <w:vAlign w:val="center"/>
          </w:tcPr>
          <w:p w:rsidR="0077346B" w:rsidRDefault="00A9302A"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r w:rsidR="005C176F">
              <w:rPr>
                <w:rFonts w:ascii="Calibri" w:hAnsi="Calibri"/>
                <w:color w:val="000000"/>
              </w:rPr>
              <w:t>,3</w:t>
            </w:r>
          </w:p>
        </w:tc>
        <w:tc>
          <w:tcPr>
            <w:tcW w:w="850" w:type="dxa"/>
            <w:vAlign w:val="center"/>
          </w:tcPr>
          <w:p w:rsidR="0077346B" w:rsidRPr="00157CB6"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46,0</w:t>
            </w:r>
          </w:p>
        </w:tc>
        <w:tc>
          <w:tcPr>
            <w:tcW w:w="992" w:type="dxa"/>
            <w:vAlign w:val="center"/>
          </w:tcPr>
          <w:p w:rsidR="0077346B" w:rsidRDefault="00C9315E"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37,5</w:t>
            </w:r>
          </w:p>
        </w:tc>
        <w:tc>
          <w:tcPr>
            <w:tcW w:w="851" w:type="dxa"/>
            <w:vAlign w:val="center"/>
          </w:tcPr>
          <w:p w:rsidR="0077346B" w:rsidRDefault="00C9315E"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8,4</w:t>
            </w: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716F05" w:rsidRDefault="0077346B" w:rsidP="0036241D">
            <w:pPr>
              <w:rPr>
                <w:rFonts w:ascii="Calibri" w:hAnsi="Calibri"/>
                <w:b/>
                <w:color w:val="000000"/>
              </w:rPr>
            </w:pPr>
            <w:r w:rsidRPr="00716F05">
              <w:rPr>
                <w:rFonts w:ascii="Calibri" w:hAnsi="Calibri"/>
                <w:b/>
                <w:color w:val="000000"/>
              </w:rPr>
              <w:t>Önümüzdeki 3 ayda firmanızın istihdam düzeyi</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-4,6</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23</w:t>
            </w:r>
            <w:r w:rsidR="00A9302A">
              <w:rPr>
                <w:rFonts w:ascii="Calibri" w:hAnsi="Calibri"/>
                <w:b/>
                <w:color w:val="000000"/>
              </w:rPr>
              <w:t>,7</w:t>
            </w:r>
          </w:p>
        </w:tc>
        <w:tc>
          <w:tcPr>
            <w:tcW w:w="992"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15,6</w:t>
            </w:r>
          </w:p>
        </w:tc>
        <w:tc>
          <w:tcPr>
            <w:tcW w:w="851"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0,6</w:t>
            </w: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716F05" w:rsidRDefault="0077346B" w:rsidP="0036241D">
            <w:pPr>
              <w:rPr>
                <w:rFonts w:ascii="Calibri" w:hAnsi="Calibri"/>
                <w:b/>
                <w:color w:val="000000"/>
              </w:rPr>
            </w:pPr>
            <w:r w:rsidRPr="00716F05">
              <w:rPr>
                <w:rFonts w:ascii="Calibri" w:hAnsi="Calibri"/>
                <w:b/>
                <w:color w:val="000000"/>
              </w:rPr>
              <w:t>Önümüzdeki 12 ayda, sabit sermaye yatırım harcamanız</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-4,3</w:t>
            </w:r>
          </w:p>
        </w:tc>
        <w:tc>
          <w:tcPr>
            <w:tcW w:w="1560"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-17,0</w:t>
            </w:r>
          </w:p>
        </w:tc>
        <w:tc>
          <w:tcPr>
            <w:tcW w:w="850" w:type="dxa"/>
            <w:vAlign w:val="center"/>
          </w:tcPr>
          <w:p w:rsidR="0077346B" w:rsidRPr="00157CB6"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1,7</w:t>
            </w:r>
          </w:p>
        </w:tc>
        <w:tc>
          <w:tcPr>
            <w:tcW w:w="992" w:type="dxa"/>
            <w:vAlign w:val="center"/>
          </w:tcPr>
          <w:p w:rsidR="0077346B" w:rsidRDefault="00C9315E"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11,7</w:t>
            </w:r>
          </w:p>
        </w:tc>
        <w:tc>
          <w:tcPr>
            <w:tcW w:w="851" w:type="dxa"/>
            <w:vAlign w:val="center"/>
          </w:tcPr>
          <w:p w:rsidR="0077346B" w:rsidRDefault="0077346B"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Default="0077346B" w:rsidP="0036241D">
            <w:pPr>
              <w:rPr>
                <w:rFonts w:ascii="Calibri" w:hAnsi="Calibri"/>
                <w:color w:val="000000"/>
              </w:rPr>
            </w:pPr>
            <w:r w:rsidRPr="00102D6A">
              <w:rPr>
                <w:rFonts w:ascii="Calibri" w:hAnsi="Calibri"/>
                <w:b/>
                <w:color w:val="000000"/>
              </w:rPr>
              <w:t>Geçtiğimiz 3 aya göre ortalama birim maliyet</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-3,7</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83,3</w:t>
            </w:r>
          </w:p>
        </w:tc>
        <w:tc>
          <w:tcPr>
            <w:tcW w:w="992"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19,0</w:t>
            </w:r>
          </w:p>
        </w:tc>
        <w:tc>
          <w:tcPr>
            <w:tcW w:w="851" w:type="dxa"/>
            <w:vAlign w:val="center"/>
          </w:tcPr>
          <w:p w:rsidR="0077346B" w:rsidRDefault="0077346B"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Önümüzdeki 3 ayda ortalama birim maliyet</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0,6</w:t>
            </w:r>
          </w:p>
        </w:tc>
        <w:tc>
          <w:tcPr>
            <w:tcW w:w="1560"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5,0</w:t>
            </w:r>
          </w:p>
        </w:tc>
        <w:tc>
          <w:tcPr>
            <w:tcW w:w="850" w:type="dxa"/>
            <w:vAlign w:val="center"/>
          </w:tcPr>
          <w:p w:rsidR="0077346B" w:rsidRPr="00157CB6" w:rsidRDefault="00A9302A"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6</w:t>
            </w:r>
            <w:r w:rsidR="005C176F">
              <w:rPr>
                <w:rFonts w:ascii="Calibri" w:hAnsi="Calibri"/>
                <w:b/>
                <w:color w:val="000000"/>
              </w:rPr>
              <w:t>2,3</w:t>
            </w:r>
          </w:p>
        </w:tc>
        <w:tc>
          <w:tcPr>
            <w:tcW w:w="992" w:type="dxa"/>
            <w:vAlign w:val="center"/>
          </w:tcPr>
          <w:p w:rsidR="0077346B" w:rsidRDefault="00C9315E"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30,6</w:t>
            </w:r>
          </w:p>
        </w:tc>
        <w:tc>
          <w:tcPr>
            <w:tcW w:w="851" w:type="dxa"/>
            <w:vAlign w:val="center"/>
          </w:tcPr>
          <w:p w:rsidR="0077346B" w:rsidRDefault="0077346B"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Önümüzdeki 3 ayda iç piyasa satış fiyatları</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w:t>
            </w:r>
            <w:r w:rsidR="00A9302A">
              <w:rPr>
                <w:rFonts w:ascii="Calibri" w:hAnsi="Calibri"/>
                <w:color w:val="000000"/>
              </w:rPr>
              <w:t>,3</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-9,0</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15,7</w:t>
            </w:r>
          </w:p>
        </w:tc>
        <w:tc>
          <w:tcPr>
            <w:tcW w:w="992"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18,4</w:t>
            </w:r>
          </w:p>
        </w:tc>
        <w:tc>
          <w:tcPr>
            <w:tcW w:w="851" w:type="dxa"/>
            <w:vAlign w:val="center"/>
          </w:tcPr>
          <w:p w:rsidR="0077346B" w:rsidRDefault="0077346B"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77346B" w:rsidTr="00853A46">
        <w:trPr>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sidRPr="00102D6A">
              <w:rPr>
                <w:rFonts w:ascii="Calibri" w:hAnsi="Calibri"/>
                <w:b/>
                <w:color w:val="000000"/>
              </w:rPr>
              <w:t>Önümüzdeki 3 ayda satış fiyatları</w:t>
            </w:r>
          </w:p>
        </w:tc>
        <w:tc>
          <w:tcPr>
            <w:tcW w:w="1252"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0,7</w:t>
            </w:r>
          </w:p>
        </w:tc>
        <w:tc>
          <w:tcPr>
            <w:tcW w:w="1560" w:type="dxa"/>
            <w:vAlign w:val="center"/>
          </w:tcPr>
          <w:p w:rsidR="0077346B"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-11,3</w:t>
            </w:r>
          </w:p>
        </w:tc>
        <w:tc>
          <w:tcPr>
            <w:tcW w:w="850" w:type="dxa"/>
            <w:vAlign w:val="center"/>
          </w:tcPr>
          <w:p w:rsidR="0077346B" w:rsidRPr="00157CB6" w:rsidRDefault="005C176F"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b/>
                <w:color w:val="000000"/>
              </w:rPr>
            </w:pPr>
            <w:r>
              <w:rPr>
                <w:rFonts w:ascii="Calibri" w:hAnsi="Calibri"/>
                <w:b/>
                <w:color w:val="000000"/>
              </w:rPr>
              <w:t>16,0</w:t>
            </w:r>
          </w:p>
        </w:tc>
        <w:tc>
          <w:tcPr>
            <w:tcW w:w="992" w:type="dxa"/>
            <w:vAlign w:val="center"/>
          </w:tcPr>
          <w:p w:rsidR="0077346B" w:rsidRDefault="00C9315E"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15,0</w:t>
            </w:r>
          </w:p>
        </w:tc>
        <w:tc>
          <w:tcPr>
            <w:tcW w:w="851" w:type="dxa"/>
            <w:vAlign w:val="center"/>
          </w:tcPr>
          <w:p w:rsidR="0077346B" w:rsidRDefault="00C9315E" w:rsidP="00853A46">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-0,1</w:t>
            </w:r>
          </w:p>
        </w:tc>
      </w:tr>
      <w:tr w:rsidR="0077346B" w:rsidTr="00853A4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59" w:type="dxa"/>
            <w:vAlign w:val="center"/>
          </w:tcPr>
          <w:p w:rsidR="0077346B" w:rsidRPr="00102D6A" w:rsidRDefault="0077346B" w:rsidP="0036241D">
            <w:pPr>
              <w:rPr>
                <w:rFonts w:ascii="Calibri" w:hAnsi="Calibri"/>
                <w:b/>
                <w:color w:val="000000"/>
              </w:rPr>
            </w:pPr>
            <w:r>
              <w:rPr>
                <w:rFonts w:ascii="Calibri" w:hAnsi="Calibri"/>
                <w:b/>
                <w:color w:val="000000"/>
              </w:rPr>
              <w:t>İmalat sanayi</w:t>
            </w:r>
            <w:r w:rsidR="00832F44">
              <w:rPr>
                <w:rFonts w:ascii="Calibri" w:hAnsi="Calibri"/>
                <w:b/>
                <w:color w:val="000000"/>
              </w:rPr>
              <w:t>n</w:t>
            </w:r>
            <w:r>
              <w:rPr>
                <w:rFonts w:ascii="Calibri" w:hAnsi="Calibri"/>
                <w:b/>
                <w:color w:val="000000"/>
              </w:rPr>
              <w:t>deki 1 ay öncesine göre genel gidişat</w:t>
            </w:r>
          </w:p>
        </w:tc>
        <w:tc>
          <w:tcPr>
            <w:tcW w:w="1252"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w:t>
            </w:r>
          </w:p>
        </w:tc>
        <w:tc>
          <w:tcPr>
            <w:tcW w:w="1560" w:type="dxa"/>
            <w:vAlign w:val="center"/>
          </w:tcPr>
          <w:p w:rsidR="0077346B"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1,0</w:t>
            </w:r>
          </w:p>
        </w:tc>
        <w:tc>
          <w:tcPr>
            <w:tcW w:w="850" w:type="dxa"/>
            <w:vAlign w:val="center"/>
          </w:tcPr>
          <w:p w:rsidR="0077346B" w:rsidRPr="00157CB6" w:rsidRDefault="005C176F"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000000"/>
              </w:rPr>
            </w:pPr>
            <w:r>
              <w:rPr>
                <w:rFonts w:ascii="Calibri" w:hAnsi="Calibri"/>
                <w:b/>
                <w:color w:val="000000"/>
              </w:rPr>
              <w:t>11</w:t>
            </w:r>
            <w:r w:rsidR="0077346B" w:rsidRPr="00157CB6">
              <w:rPr>
                <w:rFonts w:ascii="Calibri" w:hAnsi="Calibri"/>
                <w:b/>
                <w:color w:val="000000"/>
              </w:rPr>
              <w:t>,3</w:t>
            </w:r>
          </w:p>
        </w:tc>
        <w:tc>
          <w:tcPr>
            <w:tcW w:w="992" w:type="dxa"/>
            <w:vAlign w:val="center"/>
          </w:tcPr>
          <w:p w:rsidR="0077346B" w:rsidRDefault="00C9315E"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0,9</w:t>
            </w:r>
          </w:p>
        </w:tc>
        <w:tc>
          <w:tcPr>
            <w:tcW w:w="851" w:type="dxa"/>
            <w:vAlign w:val="center"/>
          </w:tcPr>
          <w:p w:rsidR="0077346B" w:rsidRDefault="0077346B" w:rsidP="00853A4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rsidR="00127E77" w:rsidRPr="00481477" w:rsidRDefault="00127E77" w:rsidP="00127E77">
      <w:pPr>
        <w:pStyle w:val="Balk2"/>
        <w:spacing w:before="0" w:after="240" w:line="240" w:lineRule="auto"/>
        <w:jc w:val="both"/>
        <w:rPr>
          <w:rFonts w:asciiTheme="minorHAnsi" w:hAnsiTheme="minorHAnsi" w:cs="Arial"/>
          <w:color w:val="595959" w:themeColor="text1" w:themeTint="A6"/>
          <w:sz w:val="28"/>
        </w:rPr>
      </w:pPr>
      <w:r w:rsidRPr="00481477">
        <w:rPr>
          <w:rFonts w:asciiTheme="minorHAnsi" w:hAnsiTheme="minorHAnsi" w:cs="Arial"/>
          <w:color w:val="595959" w:themeColor="text1" w:themeTint="A6"/>
          <w:sz w:val="28"/>
        </w:rPr>
        <w:lastRenderedPageBreak/>
        <w:t>AB’de imalat sanayi gü</w:t>
      </w:r>
      <w:r w:rsidR="00B82659" w:rsidRPr="00481477">
        <w:rPr>
          <w:rFonts w:asciiTheme="minorHAnsi" w:hAnsiTheme="minorHAnsi" w:cs="Arial"/>
          <w:color w:val="595959" w:themeColor="text1" w:themeTint="A6"/>
          <w:sz w:val="28"/>
        </w:rPr>
        <w:t xml:space="preserve">ven endeksi </w:t>
      </w:r>
      <w:r w:rsidR="00815AC5">
        <w:rPr>
          <w:rFonts w:asciiTheme="minorHAnsi" w:hAnsiTheme="minorHAnsi" w:cs="Arial"/>
          <w:color w:val="595959" w:themeColor="text1" w:themeTint="A6"/>
          <w:sz w:val="28"/>
        </w:rPr>
        <w:t>geçen yıla göre düştü</w:t>
      </w:r>
      <w:r w:rsidRPr="00481477">
        <w:rPr>
          <w:rFonts w:asciiTheme="minorHAnsi" w:hAnsiTheme="minorHAnsi" w:cs="Arial"/>
          <w:color w:val="595959" w:themeColor="text1" w:themeTint="A6"/>
          <w:sz w:val="28"/>
        </w:rPr>
        <w:t>:</w:t>
      </w:r>
    </w:p>
    <w:p w:rsidR="00127E77" w:rsidRPr="00B23F4C" w:rsidRDefault="00127E77" w:rsidP="00127E77">
      <w:pPr>
        <w:spacing w:after="240"/>
        <w:jc w:val="both"/>
        <w:rPr>
          <w:bCs/>
          <w:sz w:val="24"/>
        </w:rPr>
      </w:pPr>
      <w:r w:rsidRPr="00481477">
        <w:rPr>
          <w:bCs/>
          <w:sz w:val="24"/>
        </w:rPr>
        <w:t xml:space="preserve">AB-28 ülkeleri </w:t>
      </w:r>
      <w:r w:rsidR="001D4809" w:rsidRPr="00481477">
        <w:rPr>
          <w:bCs/>
          <w:sz w:val="24"/>
        </w:rPr>
        <w:t>için</w:t>
      </w:r>
      <w:r w:rsidRPr="00481477">
        <w:rPr>
          <w:bCs/>
          <w:sz w:val="24"/>
        </w:rPr>
        <w:t xml:space="preserve"> </w:t>
      </w:r>
      <w:r w:rsidR="00A303ED" w:rsidRPr="00481477">
        <w:rPr>
          <w:bCs/>
          <w:sz w:val="24"/>
        </w:rPr>
        <w:t xml:space="preserve">imalat sanayi güven endeksi </w:t>
      </w:r>
      <w:r w:rsidRPr="00481477">
        <w:rPr>
          <w:bCs/>
          <w:sz w:val="24"/>
        </w:rPr>
        <w:t>değerlerine bakıldığında</w:t>
      </w:r>
      <w:r w:rsidR="009211F1">
        <w:rPr>
          <w:bCs/>
          <w:sz w:val="24"/>
        </w:rPr>
        <w:t>;</w:t>
      </w:r>
      <w:r w:rsidR="00715850" w:rsidRPr="00481477">
        <w:rPr>
          <w:bCs/>
          <w:sz w:val="24"/>
        </w:rPr>
        <w:t xml:space="preserve"> </w:t>
      </w:r>
      <w:r w:rsidR="001D4809" w:rsidRPr="00481477">
        <w:rPr>
          <w:bCs/>
          <w:sz w:val="24"/>
        </w:rPr>
        <w:t xml:space="preserve">endeks, bir önceki yılın aynı dönemine göre en çok </w:t>
      </w:r>
      <w:r w:rsidR="00642069">
        <w:rPr>
          <w:bCs/>
          <w:sz w:val="24"/>
        </w:rPr>
        <w:t>Lüksemburg’da</w:t>
      </w:r>
      <w:r w:rsidR="001D4809" w:rsidRPr="00481477">
        <w:rPr>
          <w:bCs/>
          <w:sz w:val="24"/>
        </w:rPr>
        <w:t xml:space="preserve"> yükselmiştir.</w:t>
      </w:r>
      <w:r w:rsidRPr="00481477">
        <w:rPr>
          <w:bCs/>
          <w:sz w:val="24"/>
        </w:rPr>
        <w:t xml:space="preserve"> </w:t>
      </w:r>
      <w:r w:rsidR="00642069">
        <w:rPr>
          <w:bCs/>
          <w:sz w:val="24"/>
        </w:rPr>
        <w:t>Lüksemburg’u</w:t>
      </w:r>
      <w:r w:rsidR="009211F1">
        <w:rPr>
          <w:bCs/>
          <w:sz w:val="24"/>
        </w:rPr>
        <w:t>;</w:t>
      </w:r>
      <w:r w:rsidR="002F0192" w:rsidRPr="00481477">
        <w:rPr>
          <w:bCs/>
          <w:sz w:val="24"/>
        </w:rPr>
        <w:t xml:space="preserve"> </w:t>
      </w:r>
      <w:r w:rsidR="00A5104E">
        <w:rPr>
          <w:bCs/>
          <w:sz w:val="24"/>
        </w:rPr>
        <w:t>Yunanistan,</w:t>
      </w:r>
      <w:r w:rsidR="00836526" w:rsidRPr="00481477">
        <w:rPr>
          <w:bCs/>
          <w:sz w:val="24"/>
        </w:rPr>
        <w:t xml:space="preserve"> </w:t>
      </w:r>
      <w:r w:rsidR="00642069">
        <w:rPr>
          <w:bCs/>
          <w:sz w:val="24"/>
        </w:rPr>
        <w:t>İsveç</w:t>
      </w:r>
      <w:r w:rsidR="009211F1">
        <w:rPr>
          <w:bCs/>
          <w:sz w:val="24"/>
        </w:rPr>
        <w:t xml:space="preserve"> ve</w:t>
      </w:r>
      <w:r w:rsidR="00815AC5">
        <w:rPr>
          <w:bCs/>
          <w:sz w:val="24"/>
        </w:rPr>
        <w:t xml:space="preserve"> </w:t>
      </w:r>
      <w:r w:rsidR="00A5104E">
        <w:rPr>
          <w:bCs/>
          <w:sz w:val="24"/>
        </w:rPr>
        <w:t>Güney Kıbrıs Rum Yönetimi</w:t>
      </w:r>
      <w:r w:rsidR="009211F1">
        <w:rPr>
          <w:bCs/>
          <w:sz w:val="24"/>
        </w:rPr>
        <w:t xml:space="preserve"> </w:t>
      </w:r>
      <w:r w:rsidRPr="00481477">
        <w:rPr>
          <w:bCs/>
          <w:sz w:val="24"/>
        </w:rPr>
        <w:t xml:space="preserve">takip etmiştir. </w:t>
      </w:r>
      <w:r w:rsidR="00E16AC2" w:rsidRPr="00481477">
        <w:rPr>
          <w:bCs/>
          <w:sz w:val="24"/>
        </w:rPr>
        <w:t>Endeks değeri g</w:t>
      </w:r>
      <w:r w:rsidRPr="00481477">
        <w:rPr>
          <w:bCs/>
          <w:sz w:val="24"/>
        </w:rPr>
        <w:t>eçen yı</w:t>
      </w:r>
      <w:r w:rsidR="00E16AC2" w:rsidRPr="00481477">
        <w:rPr>
          <w:bCs/>
          <w:sz w:val="24"/>
        </w:rPr>
        <w:t>la göre en fazla düşen ülkeler</w:t>
      </w:r>
      <w:r w:rsidR="001D4809" w:rsidRPr="00481477">
        <w:rPr>
          <w:bCs/>
          <w:sz w:val="24"/>
        </w:rPr>
        <w:t xml:space="preserve"> ise</w:t>
      </w:r>
      <w:r w:rsidR="00FF6DF0" w:rsidRPr="00481477">
        <w:rPr>
          <w:bCs/>
          <w:sz w:val="24"/>
        </w:rPr>
        <w:t xml:space="preserve"> </w:t>
      </w:r>
      <w:r w:rsidR="00642069">
        <w:rPr>
          <w:bCs/>
          <w:sz w:val="24"/>
        </w:rPr>
        <w:t>Litvanya,</w:t>
      </w:r>
      <w:r w:rsidR="002A1857" w:rsidRPr="00481477">
        <w:rPr>
          <w:bCs/>
          <w:sz w:val="24"/>
        </w:rPr>
        <w:t xml:space="preserve"> </w:t>
      </w:r>
      <w:r w:rsidR="00642069">
        <w:rPr>
          <w:bCs/>
          <w:sz w:val="24"/>
        </w:rPr>
        <w:t>İngiltere</w:t>
      </w:r>
      <w:r w:rsidR="006D71EA" w:rsidRPr="00481477">
        <w:rPr>
          <w:bCs/>
          <w:sz w:val="24"/>
        </w:rPr>
        <w:t>,</w:t>
      </w:r>
      <w:r w:rsidR="00A5104E">
        <w:rPr>
          <w:bCs/>
          <w:sz w:val="24"/>
        </w:rPr>
        <w:t xml:space="preserve"> Malta,</w:t>
      </w:r>
      <w:r w:rsidR="006D71EA" w:rsidRPr="00481477">
        <w:rPr>
          <w:bCs/>
          <w:sz w:val="24"/>
        </w:rPr>
        <w:t xml:space="preserve"> </w:t>
      </w:r>
      <w:r w:rsidR="00A5104E">
        <w:rPr>
          <w:bCs/>
          <w:sz w:val="24"/>
        </w:rPr>
        <w:t>Macaristan</w:t>
      </w:r>
      <w:r w:rsidR="00481477" w:rsidRPr="00481477">
        <w:rPr>
          <w:bCs/>
          <w:sz w:val="24"/>
        </w:rPr>
        <w:t xml:space="preserve">, </w:t>
      </w:r>
      <w:r w:rsidR="00A5104E">
        <w:rPr>
          <w:bCs/>
          <w:sz w:val="24"/>
        </w:rPr>
        <w:t>İspanya</w:t>
      </w:r>
      <w:r w:rsidR="00FF26D9" w:rsidRPr="00481477">
        <w:rPr>
          <w:bCs/>
          <w:sz w:val="24"/>
        </w:rPr>
        <w:t xml:space="preserve"> ve </w:t>
      </w:r>
      <w:r w:rsidR="00A5104E">
        <w:rPr>
          <w:bCs/>
          <w:sz w:val="24"/>
        </w:rPr>
        <w:t>Bulgaristan</w:t>
      </w:r>
      <w:r w:rsidR="00E16AC2" w:rsidRPr="00481477">
        <w:rPr>
          <w:bCs/>
          <w:sz w:val="24"/>
        </w:rPr>
        <w:t xml:space="preserve"> olmuştur</w:t>
      </w:r>
      <w:r w:rsidRPr="00481477">
        <w:rPr>
          <w:bCs/>
          <w:sz w:val="24"/>
        </w:rPr>
        <w:t>. İmalat S</w:t>
      </w:r>
      <w:r w:rsidR="00E16AC2" w:rsidRPr="00481477">
        <w:rPr>
          <w:bCs/>
          <w:sz w:val="24"/>
        </w:rPr>
        <w:t xml:space="preserve">anayi Güven Endeksi, </w:t>
      </w:r>
      <w:r w:rsidR="00A5104E">
        <w:rPr>
          <w:bCs/>
          <w:sz w:val="24"/>
        </w:rPr>
        <w:t>Euro bölgesinde, Türkiye</w:t>
      </w:r>
      <w:r w:rsidR="00AA08A1">
        <w:rPr>
          <w:bCs/>
          <w:sz w:val="24"/>
        </w:rPr>
        <w:t xml:space="preserve"> genelinde</w:t>
      </w:r>
      <w:r w:rsidR="00A5104E">
        <w:rPr>
          <w:bCs/>
          <w:sz w:val="24"/>
        </w:rPr>
        <w:t xml:space="preserve"> ve AB-28’de</w:t>
      </w:r>
      <w:r w:rsidR="00E16AC2" w:rsidRPr="000654C4">
        <w:rPr>
          <w:bCs/>
          <w:sz w:val="24"/>
        </w:rPr>
        <w:t xml:space="preserve"> </w:t>
      </w:r>
      <w:r w:rsidR="00815AC5">
        <w:rPr>
          <w:bCs/>
          <w:sz w:val="24"/>
        </w:rPr>
        <w:t xml:space="preserve">geçen </w:t>
      </w:r>
      <w:r w:rsidR="00E16AC2" w:rsidRPr="000654C4">
        <w:rPr>
          <w:bCs/>
          <w:sz w:val="24"/>
        </w:rPr>
        <w:t xml:space="preserve">yılın aynı dönemine </w:t>
      </w:r>
      <w:r w:rsidRPr="000654C4">
        <w:rPr>
          <w:bCs/>
          <w:sz w:val="24"/>
        </w:rPr>
        <w:t xml:space="preserve">göre </w:t>
      </w:r>
      <w:r w:rsidR="00815AC5">
        <w:rPr>
          <w:bCs/>
          <w:sz w:val="24"/>
        </w:rPr>
        <w:t>düşmüştür</w:t>
      </w:r>
      <w:r w:rsidRPr="000654C4">
        <w:rPr>
          <w:bCs/>
          <w:sz w:val="24"/>
        </w:rPr>
        <w:t>.</w:t>
      </w:r>
      <w:r w:rsidR="001D4809" w:rsidRPr="000654C4">
        <w:rPr>
          <w:bCs/>
          <w:sz w:val="24"/>
        </w:rPr>
        <w:t xml:space="preserve"> </w:t>
      </w:r>
      <w:bookmarkStart w:id="0" w:name="_GoBack"/>
      <w:bookmarkEnd w:id="0"/>
    </w:p>
    <w:p w:rsidR="00127E77" w:rsidRDefault="00127E77" w:rsidP="00127E77">
      <w:pPr>
        <w:tabs>
          <w:tab w:val="left" w:pos="8258"/>
        </w:tabs>
        <w:spacing w:after="0"/>
        <w:jc w:val="both"/>
      </w:pPr>
      <w:r>
        <w:rPr>
          <w:b/>
        </w:rPr>
        <w:t>Tablo-3</w:t>
      </w:r>
      <w:r w:rsidRPr="00FE7648">
        <w:rPr>
          <w:b/>
        </w:rPr>
        <w:t>.</w:t>
      </w:r>
      <w:r w:rsidRPr="00FE7648">
        <w:t xml:space="preserve"> AB-2</w:t>
      </w:r>
      <w:r>
        <w:t>8</w:t>
      </w:r>
      <w:r w:rsidRPr="00FE7648">
        <w:t xml:space="preserve"> Ülkeleri ve Türkiye’nin </w:t>
      </w:r>
      <w:r>
        <w:t>İmalat Sanayi</w:t>
      </w:r>
      <w:r w:rsidRPr="00FE7648">
        <w:t xml:space="preserve"> Güven Endeksi karşılaştırmaları (</w:t>
      </w:r>
      <w:r w:rsidR="00A5104E">
        <w:t>Nisan</w:t>
      </w:r>
      <w:r w:rsidR="00573947">
        <w:t xml:space="preserve"> 2015</w:t>
      </w:r>
      <w:r>
        <w:t xml:space="preserve">’e </w:t>
      </w:r>
      <w:r w:rsidRPr="00FE7648">
        <w:t xml:space="preserve">göre) </w:t>
      </w:r>
    </w:p>
    <w:tbl>
      <w:tblPr>
        <w:tblW w:w="9560" w:type="dxa"/>
        <w:tblInd w:w="55" w:type="dxa"/>
        <w:tblCellMar>
          <w:left w:w="70" w:type="dxa"/>
          <w:right w:w="70" w:type="dxa"/>
        </w:tblCellMar>
        <w:tblLook w:val="04A0" w:firstRow="1" w:lastRow="0" w:firstColumn="1" w:lastColumn="0" w:noHBand="0" w:noVBand="1"/>
      </w:tblPr>
      <w:tblGrid>
        <w:gridCol w:w="2840"/>
        <w:gridCol w:w="6720"/>
      </w:tblGrid>
      <w:tr w:rsidR="00A5104E" w:rsidRPr="00A5104E" w:rsidTr="00A5104E">
        <w:trPr>
          <w:trHeight w:val="290"/>
        </w:trPr>
        <w:tc>
          <w:tcPr>
            <w:tcW w:w="2840" w:type="dxa"/>
            <w:tcBorders>
              <w:top w:val="nil"/>
              <w:left w:val="nil"/>
              <w:bottom w:val="single" w:sz="12" w:space="0" w:color="FFFFFF"/>
              <w:right w:val="single" w:sz="4" w:space="0" w:color="FFFFFF"/>
            </w:tcBorders>
            <w:shd w:val="clear" w:color="4F81BD" w:fill="4F81BD"/>
            <w:noWrap/>
            <w:vAlign w:val="bottom"/>
            <w:hideMark/>
          </w:tcPr>
          <w:p w:rsidR="00A5104E" w:rsidRPr="00A5104E" w:rsidRDefault="00A5104E" w:rsidP="00A5104E">
            <w:pPr>
              <w:spacing w:after="0" w:line="240" w:lineRule="auto"/>
              <w:rPr>
                <w:rFonts w:ascii="Calibri" w:eastAsia="Times New Roman" w:hAnsi="Calibri" w:cs="Times New Roman"/>
                <w:b/>
                <w:bCs/>
                <w:color w:val="FFFFFF"/>
              </w:rPr>
            </w:pPr>
            <w:r w:rsidRPr="00A5104E">
              <w:rPr>
                <w:rFonts w:ascii="Calibri" w:eastAsia="Times New Roman" w:hAnsi="Calibri" w:cs="Times New Roman"/>
                <w:b/>
                <w:bCs/>
                <w:color w:val="FFFFFF"/>
              </w:rPr>
              <w:t>Ülkeler/ (Puan)</w:t>
            </w:r>
          </w:p>
        </w:tc>
        <w:tc>
          <w:tcPr>
            <w:tcW w:w="6720" w:type="dxa"/>
            <w:tcBorders>
              <w:top w:val="nil"/>
              <w:left w:val="single" w:sz="4" w:space="0" w:color="FFFFFF"/>
              <w:bottom w:val="single" w:sz="12" w:space="0" w:color="FFFFFF"/>
              <w:right w:val="nil"/>
            </w:tcBorders>
            <w:shd w:val="clear" w:color="4F81BD" w:fill="4F81BD"/>
            <w:noWrap/>
            <w:vAlign w:val="bottom"/>
            <w:hideMark/>
          </w:tcPr>
          <w:p w:rsidR="00A5104E" w:rsidRPr="00A5104E" w:rsidRDefault="00A5104E" w:rsidP="00A5104E">
            <w:pPr>
              <w:spacing w:after="0" w:line="240" w:lineRule="auto"/>
              <w:jc w:val="center"/>
              <w:rPr>
                <w:rFonts w:ascii="Calibri" w:eastAsia="Times New Roman" w:hAnsi="Calibri" w:cs="Times New Roman"/>
                <w:b/>
                <w:bCs/>
                <w:color w:val="FFFFFF"/>
              </w:rPr>
            </w:pPr>
            <w:r w:rsidRPr="00A5104E">
              <w:rPr>
                <w:rFonts w:ascii="Calibri" w:eastAsia="Times New Roman" w:hAnsi="Calibri" w:cs="Times New Roman"/>
                <w:b/>
                <w:bCs/>
                <w:color w:val="FFFFFF"/>
              </w:rPr>
              <w:t>Nisan 2015’e göre İmalat Sanayi Güven Endeksi’ndeki Değişim</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Lüksemburg</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29,8</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Yunanistan</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9,3</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İsveç</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8,8</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Güney Kıbrıs Rum Yönetimi</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8,5</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Danimarka</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5,1</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Slovenya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3,2</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Estonya</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2,6</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Fransa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1,9</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Belçika</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1,9</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Letonya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1,2</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Hollanda</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0,8</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Romanya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0,6</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Hırvatistan</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0,5</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Polonya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0,2</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Avusturya</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-0,2</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FF0000"/>
              </w:rPr>
            </w:pPr>
            <w:r w:rsidRPr="00A5104E">
              <w:rPr>
                <w:rFonts w:ascii="Calibri" w:eastAsia="Times New Roman" w:hAnsi="Calibri" w:cs="Times New Roman"/>
                <w:b/>
                <w:bCs/>
                <w:color w:val="FF0000"/>
              </w:rPr>
              <w:t>Euro Bölgesi-19</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b/>
                <w:bCs/>
                <w:color w:val="FF0000"/>
              </w:rPr>
            </w:pPr>
            <w:r w:rsidRPr="00A5104E">
              <w:rPr>
                <w:rFonts w:ascii="Calibri" w:eastAsia="Times New Roman" w:hAnsi="Calibri" w:cs="Times New Roman"/>
                <w:b/>
                <w:bCs/>
                <w:color w:val="FF0000"/>
              </w:rPr>
              <w:t>-0,6</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FF0000"/>
              </w:rPr>
            </w:pPr>
            <w:r w:rsidRPr="00A5104E">
              <w:rPr>
                <w:rFonts w:ascii="Calibri" w:eastAsia="Times New Roman" w:hAnsi="Calibri" w:cs="Times New Roman"/>
                <w:b/>
                <w:bCs/>
                <w:color w:val="FF0000"/>
              </w:rPr>
              <w:t>Türkiye</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b/>
                <w:bCs/>
                <w:color w:val="FF0000"/>
              </w:rPr>
            </w:pPr>
            <w:r w:rsidRPr="00A5104E">
              <w:rPr>
                <w:rFonts w:ascii="Calibri" w:eastAsia="Times New Roman" w:hAnsi="Calibri" w:cs="Times New Roman"/>
                <w:b/>
                <w:bCs/>
                <w:color w:val="FF0000"/>
              </w:rPr>
              <w:t>-0,7</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FF0000"/>
              </w:rPr>
            </w:pPr>
            <w:r w:rsidRPr="00A5104E">
              <w:rPr>
                <w:rFonts w:ascii="Calibri" w:eastAsia="Times New Roman" w:hAnsi="Calibri" w:cs="Times New Roman"/>
                <w:b/>
                <w:bCs/>
                <w:color w:val="FF0000"/>
              </w:rPr>
              <w:t>AB-28</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b/>
                <w:bCs/>
                <w:color w:val="FF0000"/>
              </w:rPr>
            </w:pPr>
            <w:r w:rsidRPr="00A5104E">
              <w:rPr>
                <w:rFonts w:ascii="Calibri" w:eastAsia="Times New Roman" w:hAnsi="Calibri" w:cs="Times New Roman"/>
                <w:b/>
                <w:bCs/>
                <w:color w:val="FF0000"/>
              </w:rPr>
              <w:t>-0,8</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Çek Cumhuriyet</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-1,3</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Almanya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-1,3</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İtalya</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-1,3</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Finlandiya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-1,3</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Portekiz</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-1,3</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Slovakya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-2</w:t>
            </w:r>
            <w:r w:rsidR="00DD470B">
              <w:rPr>
                <w:rFonts w:ascii="Calibri" w:eastAsia="Times New Roman" w:hAnsi="Calibri" w:cs="Times New Roman"/>
                <w:color w:val="000000"/>
              </w:rPr>
              <w:t>,0</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Bulgaristan</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-2,3</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İspanya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-2,7</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Macaristan</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-5,5</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Malta</w:t>
            </w:r>
          </w:p>
        </w:tc>
        <w:tc>
          <w:tcPr>
            <w:tcW w:w="6720" w:type="dxa"/>
            <w:tcBorders>
              <w:top w:val="single" w:sz="4" w:space="0" w:color="FFFFFF"/>
              <w:left w:val="single" w:sz="4" w:space="0" w:color="FFFFFF"/>
              <w:bottom w:val="single" w:sz="4" w:space="0" w:color="FFFFFF"/>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-5,5</w:t>
            </w:r>
          </w:p>
        </w:tc>
      </w:tr>
      <w:tr w:rsidR="00A5104E" w:rsidRPr="00A5104E" w:rsidTr="00A5104E">
        <w:trPr>
          <w:trHeight w:val="290"/>
        </w:trPr>
        <w:tc>
          <w:tcPr>
            <w:tcW w:w="2840" w:type="dxa"/>
            <w:tcBorders>
              <w:top w:val="single" w:sz="4" w:space="0" w:color="FFFFFF"/>
              <w:left w:val="nil"/>
              <w:bottom w:val="single" w:sz="4" w:space="0" w:color="FFFFFF"/>
              <w:right w:val="single" w:sz="4" w:space="0" w:color="FFFFFF"/>
            </w:tcBorders>
            <w:shd w:val="clear" w:color="B8CCE4" w:fill="B8CCE4"/>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İngiltere</w:t>
            </w:r>
          </w:p>
        </w:tc>
        <w:tc>
          <w:tcPr>
            <w:tcW w:w="6720" w:type="dxa"/>
            <w:tcBorders>
              <w:top w:val="single" w:sz="4" w:space="0" w:color="FFFFFF"/>
              <w:left w:val="single" w:sz="4" w:space="0" w:color="FFFFFF"/>
              <w:bottom w:val="single" w:sz="4" w:space="0" w:color="FFFFFF"/>
              <w:right w:val="nil"/>
            </w:tcBorders>
            <w:shd w:val="clear" w:color="B8CCE4" w:fill="B8CCE4"/>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-6</w:t>
            </w:r>
            <w:r w:rsidR="00DD470B">
              <w:rPr>
                <w:rFonts w:ascii="Calibri" w:eastAsia="Times New Roman" w:hAnsi="Calibri" w:cs="Times New Roman"/>
                <w:color w:val="000000"/>
              </w:rPr>
              <w:t>,0</w:t>
            </w:r>
          </w:p>
        </w:tc>
      </w:tr>
      <w:tr w:rsidR="00A5104E" w:rsidRPr="00A5104E" w:rsidTr="00A5104E">
        <w:trPr>
          <w:trHeight w:val="290"/>
        </w:trPr>
        <w:tc>
          <w:tcPr>
            <w:tcW w:w="2840" w:type="dxa"/>
            <w:tcBorders>
              <w:top w:val="single" w:sz="4" w:space="0" w:color="FFFFFF"/>
              <w:left w:val="nil"/>
              <w:bottom w:val="nil"/>
              <w:right w:val="single" w:sz="4" w:space="0" w:color="FFFFFF"/>
            </w:tcBorders>
            <w:shd w:val="clear" w:color="DCE6F1" w:fill="DCE6F1"/>
            <w:noWrap/>
            <w:vAlign w:val="bottom"/>
            <w:hideMark/>
          </w:tcPr>
          <w:p w:rsidR="00A5104E" w:rsidRPr="00A5104E" w:rsidRDefault="00A5104E" w:rsidP="00A5104E">
            <w:pPr>
              <w:spacing w:after="0" w:line="240" w:lineRule="auto"/>
              <w:rPr>
                <w:rFonts w:ascii="Calibri" w:eastAsia="Times New Roman" w:hAnsi="Calibri" w:cs="Times New Roman"/>
                <w:b/>
                <w:bCs/>
                <w:color w:val="000000"/>
              </w:rPr>
            </w:pPr>
            <w:r w:rsidRPr="00A5104E">
              <w:rPr>
                <w:rFonts w:ascii="Calibri" w:eastAsia="Times New Roman" w:hAnsi="Calibri" w:cs="Times New Roman"/>
                <w:b/>
                <w:bCs/>
                <w:color w:val="000000"/>
              </w:rPr>
              <w:t>Litvanya</w:t>
            </w:r>
          </w:p>
        </w:tc>
        <w:tc>
          <w:tcPr>
            <w:tcW w:w="6720" w:type="dxa"/>
            <w:tcBorders>
              <w:top w:val="single" w:sz="4" w:space="0" w:color="FFFFFF"/>
              <w:left w:val="single" w:sz="4" w:space="0" w:color="FFFFFF"/>
              <w:bottom w:val="nil"/>
              <w:right w:val="nil"/>
            </w:tcBorders>
            <w:shd w:val="clear" w:color="DCE6F1" w:fill="DCE6F1"/>
            <w:noWrap/>
            <w:vAlign w:val="bottom"/>
            <w:hideMark/>
          </w:tcPr>
          <w:p w:rsidR="00A5104E" w:rsidRPr="00A5104E" w:rsidRDefault="00A5104E" w:rsidP="00A5104E">
            <w:pPr>
              <w:spacing w:after="0" w:line="240" w:lineRule="auto"/>
              <w:jc w:val="center"/>
              <w:rPr>
                <w:rFonts w:ascii="Calibri" w:eastAsia="Times New Roman" w:hAnsi="Calibri" w:cs="Times New Roman"/>
                <w:color w:val="000000"/>
              </w:rPr>
            </w:pPr>
            <w:r w:rsidRPr="00A5104E">
              <w:rPr>
                <w:rFonts w:ascii="Calibri" w:eastAsia="Times New Roman" w:hAnsi="Calibri" w:cs="Times New Roman"/>
                <w:color w:val="000000"/>
              </w:rPr>
              <w:t>-9,3</w:t>
            </w:r>
          </w:p>
        </w:tc>
      </w:tr>
    </w:tbl>
    <w:p w:rsidR="00715850" w:rsidRDefault="00715850"/>
    <w:sectPr w:rsidR="00715850" w:rsidSect="00CA32C4">
      <w:headerReference w:type="default" r:id="rId20"/>
      <w:footerReference w:type="default" r:id="rId21"/>
      <w:pgSz w:w="11906" w:h="16838"/>
      <w:pgMar w:top="1815" w:right="1417" w:bottom="1417" w:left="1417" w:header="11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68" w:rsidRDefault="00B05668" w:rsidP="008D2A4D">
      <w:pPr>
        <w:spacing w:after="0" w:line="240" w:lineRule="auto"/>
      </w:pPr>
      <w:r>
        <w:separator/>
      </w:r>
    </w:p>
  </w:endnote>
  <w:endnote w:type="continuationSeparator" w:id="0">
    <w:p w:rsidR="00B05668" w:rsidRDefault="00B05668" w:rsidP="008D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56" w:rsidRPr="00347514" w:rsidRDefault="00527B56" w:rsidP="000F08B4">
    <w:pPr>
      <w:pStyle w:val="Altbilgi"/>
      <w:jc w:val="right"/>
      <w:rPr>
        <w:rFonts w:cs="Arial"/>
        <w:b/>
        <w:color w:val="595959" w:themeColor="text1" w:themeTint="A6"/>
        <w:sz w:val="24"/>
        <w:szCs w:val="24"/>
      </w:rPr>
    </w:pPr>
    <w:r w:rsidRPr="00347514">
      <w:rPr>
        <w:rFonts w:cs="Arial"/>
        <w:b/>
        <w:color w:val="595959" w:themeColor="text1" w:themeTint="A6"/>
        <w:sz w:val="24"/>
        <w:szCs w:val="24"/>
      </w:rPr>
      <w:t>www.kso.org.tr</w:t>
    </w:r>
    <w:r w:rsidRPr="00347514">
      <w:rPr>
        <w:b/>
        <w:color w:val="595959" w:themeColor="text1" w:themeTint="A6"/>
        <w:sz w:val="32"/>
        <w:szCs w:val="32"/>
      </w:rPr>
      <w:t xml:space="preserve"> </w:t>
    </w:r>
    <w:sdt>
      <w:sdtPr>
        <w:rPr>
          <w:rFonts w:cs="Arial"/>
          <w:b/>
          <w:color w:val="595959" w:themeColor="text1" w:themeTint="A6"/>
          <w:sz w:val="24"/>
          <w:szCs w:val="24"/>
        </w:rPr>
        <w:id w:val="394529"/>
        <w:docPartObj>
          <w:docPartGallery w:val="Page Numbers (Bottom of Page)"/>
          <w:docPartUnique/>
        </w:docPartObj>
      </w:sdtPr>
      <w:sdtContent>
        <w:r w:rsidRPr="00347514">
          <w:rPr>
            <w:rFonts w:cs="Arial"/>
            <w:b/>
            <w:color w:val="595959" w:themeColor="text1" w:themeTint="A6"/>
            <w:sz w:val="24"/>
            <w:szCs w:val="24"/>
          </w:rPr>
          <w:t xml:space="preserve"> |  </w:t>
        </w:r>
        <w:r w:rsidRPr="00347514">
          <w:rPr>
            <w:rFonts w:cs="Arial"/>
            <w:b/>
            <w:color w:val="595959" w:themeColor="text1" w:themeTint="A6"/>
            <w:sz w:val="24"/>
            <w:szCs w:val="24"/>
          </w:rPr>
          <w:fldChar w:fldCharType="begin"/>
        </w:r>
        <w:r w:rsidRPr="00347514">
          <w:rPr>
            <w:rFonts w:cs="Arial"/>
            <w:b/>
            <w:color w:val="595959" w:themeColor="text1" w:themeTint="A6"/>
            <w:sz w:val="24"/>
            <w:szCs w:val="24"/>
          </w:rPr>
          <w:instrText xml:space="preserve"> PAGE   \* MERGEFORMAT </w:instrText>
        </w:r>
        <w:r w:rsidRPr="00347514">
          <w:rPr>
            <w:rFonts w:cs="Arial"/>
            <w:b/>
            <w:color w:val="595959" w:themeColor="text1" w:themeTint="A6"/>
            <w:sz w:val="24"/>
            <w:szCs w:val="24"/>
          </w:rPr>
          <w:fldChar w:fldCharType="separate"/>
        </w:r>
        <w:r w:rsidR="000E1710">
          <w:rPr>
            <w:rFonts w:cs="Arial"/>
            <w:b/>
            <w:noProof/>
            <w:color w:val="595959" w:themeColor="text1" w:themeTint="A6"/>
            <w:sz w:val="24"/>
            <w:szCs w:val="24"/>
          </w:rPr>
          <w:t>13</w:t>
        </w:r>
        <w:r w:rsidRPr="00347514">
          <w:rPr>
            <w:rFonts w:cs="Arial"/>
            <w:b/>
            <w:color w:val="595959" w:themeColor="text1" w:themeTint="A6"/>
            <w:sz w:val="24"/>
            <w:szCs w:val="24"/>
          </w:rPr>
          <w:fldChar w:fldCharType="end"/>
        </w:r>
      </w:sdtContent>
    </w:sdt>
  </w:p>
  <w:p w:rsidR="00527B56" w:rsidRDefault="00527B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68" w:rsidRDefault="00B05668" w:rsidP="008D2A4D">
      <w:pPr>
        <w:spacing w:after="0" w:line="240" w:lineRule="auto"/>
      </w:pPr>
      <w:r>
        <w:separator/>
      </w:r>
    </w:p>
  </w:footnote>
  <w:footnote w:type="continuationSeparator" w:id="0">
    <w:p w:rsidR="00B05668" w:rsidRDefault="00B05668" w:rsidP="008D2A4D">
      <w:pPr>
        <w:spacing w:after="0" w:line="240" w:lineRule="auto"/>
      </w:pPr>
      <w:r>
        <w:continuationSeparator/>
      </w:r>
    </w:p>
  </w:footnote>
  <w:footnote w:id="1">
    <w:p w:rsidR="00527B56" w:rsidRPr="007F57A7" w:rsidRDefault="00527B56" w:rsidP="00147A0B">
      <w:pPr>
        <w:spacing w:after="0" w:line="240" w:lineRule="auto"/>
        <w:rPr>
          <w:rFonts w:cs="Arial"/>
          <w:szCs w:val="20"/>
        </w:rPr>
      </w:pPr>
      <w:r w:rsidRPr="00F31BC3">
        <w:rPr>
          <w:rStyle w:val="DipnotBavurusu"/>
          <w:rFonts w:cs="Arial"/>
          <w:b/>
          <w:sz w:val="24"/>
        </w:rPr>
        <w:footnoteRef/>
      </w:r>
      <w:r w:rsidRPr="00F31BC3">
        <w:rPr>
          <w:rFonts w:cs="Arial"/>
          <w:sz w:val="24"/>
        </w:rPr>
        <w:t xml:space="preserve"> </w:t>
      </w:r>
      <w:r w:rsidRPr="00F31BC3">
        <w:rPr>
          <w:rFonts w:cs="Arial"/>
          <w:szCs w:val="20"/>
        </w:rPr>
        <w:t>Tablo</w:t>
      </w:r>
      <w:r>
        <w:rPr>
          <w:rFonts w:cs="Arial"/>
          <w:szCs w:val="20"/>
        </w:rPr>
        <w:t>lardaki</w:t>
      </w:r>
      <w:r w:rsidRPr="00F31BC3">
        <w:rPr>
          <w:rFonts w:cs="Arial"/>
          <w:szCs w:val="20"/>
        </w:rPr>
        <w:t xml:space="preserve"> (-) değerler negatif beklentilerin pozitif beklentilerden fazla olduğunu ifade etmektedir.</w:t>
      </w:r>
    </w:p>
  </w:footnote>
  <w:footnote w:id="2">
    <w:p w:rsidR="00527B56" w:rsidRPr="007F57A7" w:rsidRDefault="00527B56" w:rsidP="00147A0B">
      <w:pPr>
        <w:spacing w:after="0" w:line="240" w:lineRule="auto"/>
        <w:rPr>
          <w:rFonts w:cs="Arial"/>
          <w:szCs w:val="20"/>
        </w:rPr>
      </w:pPr>
      <w:r w:rsidRPr="00F31BC3">
        <w:rPr>
          <w:rStyle w:val="DipnotBavurusu"/>
          <w:rFonts w:cs="Arial"/>
          <w:b/>
          <w:sz w:val="24"/>
        </w:rPr>
        <w:footnoteRef/>
      </w:r>
      <w:r w:rsidRPr="00F31BC3">
        <w:rPr>
          <w:rFonts w:cs="Arial"/>
          <w:sz w:val="24"/>
        </w:rPr>
        <w:t xml:space="preserve"> </w:t>
      </w:r>
      <w:r w:rsidRPr="00F31BC3">
        <w:rPr>
          <w:rFonts w:cs="Arial"/>
          <w:szCs w:val="20"/>
        </w:rPr>
        <w:t>Stok düzeyinde pozitif değer stok düzeyinin normalin altında olduğunu ifade etmektedir.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B56" w:rsidRDefault="00527B56" w:rsidP="00F566BC">
    <w:pPr>
      <w:pStyle w:val="stbilgi"/>
    </w:pPr>
    <w:r>
      <w:t xml:space="preserve">  </w:t>
    </w:r>
    <w:r w:rsidRPr="003352D6">
      <w:rPr>
        <w:noProof/>
      </w:rPr>
      <w:drawing>
        <wp:inline distT="0" distB="0" distL="0" distR="0">
          <wp:extent cx="5760720" cy="587053"/>
          <wp:effectExtent l="0" t="0" r="0" b="381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70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8A2C1E"/>
    <w:multiLevelType w:val="hybridMultilevel"/>
    <w:tmpl w:val="7B82C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A63"/>
    <w:rsid w:val="0000109B"/>
    <w:rsid w:val="00001E07"/>
    <w:rsid w:val="000044EE"/>
    <w:rsid w:val="00005650"/>
    <w:rsid w:val="000073FB"/>
    <w:rsid w:val="00007F5C"/>
    <w:rsid w:val="00010795"/>
    <w:rsid w:val="000148A7"/>
    <w:rsid w:val="00014A88"/>
    <w:rsid w:val="00021958"/>
    <w:rsid w:val="0002211B"/>
    <w:rsid w:val="00030C2A"/>
    <w:rsid w:val="000314DF"/>
    <w:rsid w:val="00034819"/>
    <w:rsid w:val="00036350"/>
    <w:rsid w:val="000424A9"/>
    <w:rsid w:val="00046B0C"/>
    <w:rsid w:val="00050E4B"/>
    <w:rsid w:val="000539E7"/>
    <w:rsid w:val="00055086"/>
    <w:rsid w:val="00061F6A"/>
    <w:rsid w:val="00064D44"/>
    <w:rsid w:val="000654C4"/>
    <w:rsid w:val="000713D1"/>
    <w:rsid w:val="0007175B"/>
    <w:rsid w:val="00071D69"/>
    <w:rsid w:val="00076160"/>
    <w:rsid w:val="000805F7"/>
    <w:rsid w:val="00082052"/>
    <w:rsid w:val="00084763"/>
    <w:rsid w:val="00085552"/>
    <w:rsid w:val="00086512"/>
    <w:rsid w:val="0008663E"/>
    <w:rsid w:val="00092DAC"/>
    <w:rsid w:val="000969E6"/>
    <w:rsid w:val="0009732E"/>
    <w:rsid w:val="000A36C9"/>
    <w:rsid w:val="000A5431"/>
    <w:rsid w:val="000B09EF"/>
    <w:rsid w:val="000B2B28"/>
    <w:rsid w:val="000B2D52"/>
    <w:rsid w:val="000B32B5"/>
    <w:rsid w:val="000B3C88"/>
    <w:rsid w:val="000B4CB5"/>
    <w:rsid w:val="000B5195"/>
    <w:rsid w:val="000B71AD"/>
    <w:rsid w:val="000C29CF"/>
    <w:rsid w:val="000C3D98"/>
    <w:rsid w:val="000C43F3"/>
    <w:rsid w:val="000C4AA1"/>
    <w:rsid w:val="000C4D48"/>
    <w:rsid w:val="000C5EC1"/>
    <w:rsid w:val="000C658F"/>
    <w:rsid w:val="000C7CEC"/>
    <w:rsid w:val="000D0587"/>
    <w:rsid w:val="000D0A4F"/>
    <w:rsid w:val="000D14F0"/>
    <w:rsid w:val="000D1959"/>
    <w:rsid w:val="000D2393"/>
    <w:rsid w:val="000D4590"/>
    <w:rsid w:val="000D4E91"/>
    <w:rsid w:val="000D656C"/>
    <w:rsid w:val="000E1664"/>
    <w:rsid w:val="000E1710"/>
    <w:rsid w:val="000E3918"/>
    <w:rsid w:val="000E59DE"/>
    <w:rsid w:val="000E66DD"/>
    <w:rsid w:val="000E73F5"/>
    <w:rsid w:val="000E77BE"/>
    <w:rsid w:val="000F08B4"/>
    <w:rsid w:val="000F1178"/>
    <w:rsid w:val="000F1A29"/>
    <w:rsid w:val="000F5467"/>
    <w:rsid w:val="000F617C"/>
    <w:rsid w:val="000F65CE"/>
    <w:rsid w:val="00102AA9"/>
    <w:rsid w:val="00102D6A"/>
    <w:rsid w:val="0010455C"/>
    <w:rsid w:val="00104945"/>
    <w:rsid w:val="001056C4"/>
    <w:rsid w:val="00111603"/>
    <w:rsid w:val="0011385E"/>
    <w:rsid w:val="00116CC0"/>
    <w:rsid w:val="00117CB0"/>
    <w:rsid w:val="001213D9"/>
    <w:rsid w:val="00122133"/>
    <w:rsid w:val="00123191"/>
    <w:rsid w:val="001257B2"/>
    <w:rsid w:val="00125FD7"/>
    <w:rsid w:val="00126F98"/>
    <w:rsid w:val="00127E77"/>
    <w:rsid w:val="001325FD"/>
    <w:rsid w:val="00134F63"/>
    <w:rsid w:val="00136B1E"/>
    <w:rsid w:val="001375C8"/>
    <w:rsid w:val="00140A7A"/>
    <w:rsid w:val="00141779"/>
    <w:rsid w:val="00142624"/>
    <w:rsid w:val="001463C1"/>
    <w:rsid w:val="00147A0B"/>
    <w:rsid w:val="00147DF5"/>
    <w:rsid w:val="00150CC0"/>
    <w:rsid w:val="00151015"/>
    <w:rsid w:val="001551F7"/>
    <w:rsid w:val="00157CB6"/>
    <w:rsid w:val="00164168"/>
    <w:rsid w:val="00164653"/>
    <w:rsid w:val="00166AE7"/>
    <w:rsid w:val="0017458D"/>
    <w:rsid w:val="00174C84"/>
    <w:rsid w:val="00176C70"/>
    <w:rsid w:val="00177C7D"/>
    <w:rsid w:val="00177F8E"/>
    <w:rsid w:val="0018228A"/>
    <w:rsid w:val="001824DF"/>
    <w:rsid w:val="0018272C"/>
    <w:rsid w:val="00184E4F"/>
    <w:rsid w:val="00186183"/>
    <w:rsid w:val="00186D52"/>
    <w:rsid w:val="0018794E"/>
    <w:rsid w:val="00192799"/>
    <w:rsid w:val="00193476"/>
    <w:rsid w:val="001966B3"/>
    <w:rsid w:val="001A6AFE"/>
    <w:rsid w:val="001B2D0B"/>
    <w:rsid w:val="001B3997"/>
    <w:rsid w:val="001B4C17"/>
    <w:rsid w:val="001B6330"/>
    <w:rsid w:val="001C07A2"/>
    <w:rsid w:val="001C504C"/>
    <w:rsid w:val="001C63F1"/>
    <w:rsid w:val="001C7D66"/>
    <w:rsid w:val="001D0330"/>
    <w:rsid w:val="001D08FE"/>
    <w:rsid w:val="001D3D21"/>
    <w:rsid w:val="001D4809"/>
    <w:rsid w:val="001D799F"/>
    <w:rsid w:val="001E011B"/>
    <w:rsid w:val="001E17BD"/>
    <w:rsid w:val="001F05AB"/>
    <w:rsid w:val="001F06DF"/>
    <w:rsid w:val="001F154F"/>
    <w:rsid w:val="001F29FA"/>
    <w:rsid w:val="001F5D8A"/>
    <w:rsid w:val="001F7036"/>
    <w:rsid w:val="001F746B"/>
    <w:rsid w:val="001F7DF8"/>
    <w:rsid w:val="00202408"/>
    <w:rsid w:val="00203340"/>
    <w:rsid w:val="00203614"/>
    <w:rsid w:val="0020513C"/>
    <w:rsid w:val="00206ABE"/>
    <w:rsid w:val="00207EB1"/>
    <w:rsid w:val="00210788"/>
    <w:rsid w:val="00211617"/>
    <w:rsid w:val="00216B5E"/>
    <w:rsid w:val="002229BE"/>
    <w:rsid w:val="00224EC8"/>
    <w:rsid w:val="00230DF8"/>
    <w:rsid w:val="002334A0"/>
    <w:rsid w:val="0023577A"/>
    <w:rsid w:val="002366AF"/>
    <w:rsid w:val="00241631"/>
    <w:rsid w:val="002432DA"/>
    <w:rsid w:val="00243511"/>
    <w:rsid w:val="00243841"/>
    <w:rsid w:val="00244CF4"/>
    <w:rsid w:val="00245AC9"/>
    <w:rsid w:val="0024628D"/>
    <w:rsid w:val="002474CE"/>
    <w:rsid w:val="00253588"/>
    <w:rsid w:val="00255365"/>
    <w:rsid w:val="0025628B"/>
    <w:rsid w:val="00264EF5"/>
    <w:rsid w:val="00280C56"/>
    <w:rsid w:val="00281095"/>
    <w:rsid w:val="00281FA9"/>
    <w:rsid w:val="0028231C"/>
    <w:rsid w:val="00286670"/>
    <w:rsid w:val="00287BAC"/>
    <w:rsid w:val="00292D7B"/>
    <w:rsid w:val="00292DF2"/>
    <w:rsid w:val="002934F1"/>
    <w:rsid w:val="002937FC"/>
    <w:rsid w:val="00294654"/>
    <w:rsid w:val="00295ED3"/>
    <w:rsid w:val="002979FE"/>
    <w:rsid w:val="00297F9F"/>
    <w:rsid w:val="002A03BA"/>
    <w:rsid w:val="002A1857"/>
    <w:rsid w:val="002A2AF5"/>
    <w:rsid w:val="002A2C05"/>
    <w:rsid w:val="002A354E"/>
    <w:rsid w:val="002A5197"/>
    <w:rsid w:val="002B242F"/>
    <w:rsid w:val="002C0A97"/>
    <w:rsid w:val="002C13FC"/>
    <w:rsid w:val="002C58CA"/>
    <w:rsid w:val="002C6C93"/>
    <w:rsid w:val="002D0142"/>
    <w:rsid w:val="002D0C2D"/>
    <w:rsid w:val="002D3017"/>
    <w:rsid w:val="002D35F5"/>
    <w:rsid w:val="002D6197"/>
    <w:rsid w:val="002D6C3D"/>
    <w:rsid w:val="002E1C25"/>
    <w:rsid w:val="002E20F8"/>
    <w:rsid w:val="002E3765"/>
    <w:rsid w:val="002E4A44"/>
    <w:rsid w:val="002E5817"/>
    <w:rsid w:val="002F0192"/>
    <w:rsid w:val="002F2431"/>
    <w:rsid w:val="002F4F03"/>
    <w:rsid w:val="002F7BF3"/>
    <w:rsid w:val="0030326D"/>
    <w:rsid w:val="0030415D"/>
    <w:rsid w:val="00305147"/>
    <w:rsid w:val="00306EDE"/>
    <w:rsid w:val="003154F5"/>
    <w:rsid w:val="003247AE"/>
    <w:rsid w:val="0033044F"/>
    <w:rsid w:val="003352D6"/>
    <w:rsid w:val="00335ABD"/>
    <w:rsid w:val="00336B16"/>
    <w:rsid w:val="003377AE"/>
    <w:rsid w:val="00344F82"/>
    <w:rsid w:val="00347514"/>
    <w:rsid w:val="0035117C"/>
    <w:rsid w:val="00354372"/>
    <w:rsid w:val="003552C5"/>
    <w:rsid w:val="003606AC"/>
    <w:rsid w:val="003615F7"/>
    <w:rsid w:val="0036241D"/>
    <w:rsid w:val="003637C2"/>
    <w:rsid w:val="00363E5F"/>
    <w:rsid w:val="00372B39"/>
    <w:rsid w:val="0037755E"/>
    <w:rsid w:val="00377C65"/>
    <w:rsid w:val="00377C77"/>
    <w:rsid w:val="003801E7"/>
    <w:rsid w:val="00381A39"/>
    <w:rsid w:val="00381A6A"/>
    <w:rsid w:val="003825F4"/>
    <w:rsid w:val="00383894"/>
    <w:rsid w:val="00386FD2"/>
    <w:rsid w:val="0039288B"/>
    <w:rsid w:val="003943F5"/>
    <w:rsid w:val="0039624A"/>
    <w:rsid w:val="00396E78"/>
    <w:rsid w:val="003971DD"/>
    <w:rsid w:val="003A1DFF"/>
    <w:rsid w:val="003A2A22"/>
    <w:rsid w:val="003B089F"/>
    <w:rsid w:val="003B0FD1"/>
    <w:rsid w:val="003B14F2"/>
    <w:rsid w:val="003B452E"/>
    <w:rsid w:val="003C5036"/>
    <w:rsid w:val="003C5D36"/>
    <w:rsid w:val="003C6AFC"/>
    <w:rsid w:val="003C7966"/>
    <w:rsid w:val="003C7D95"/>
    <w:rsid w:val="003D062E"/>
    <w:rsid w:val="003D2BC6"/>
    <w:rsid w:val="003D3F25"/>
    <w:rsid w:val="003D7F97"/>
    <w:rsid w:val="003E5248"/>
    <w:rsid w:val="003E65A5"/>
    <w:rsid w:val="003E7CD3"/>
    <w:rsid w:val="003F2A84"/>
    <w:rsid w:val="003F48B6"/>
    <w:rsid w:val="003F6398"/>
    <w:rsid w:val="0040099A"/>
    <w:rsid w:val="00401CD9"/>
    <w:rsid w:val="00403A09"/>
    <w:rsid w:val="00404BA3"/>
    <w:rsid w:val="00405FB1"/>
    <w:rsid w:val="0040674A"/>
    <w:rsid w:val="00406F84"/>
    <w:rsid w:val="00411F7D"/>
    <w:rsid w:val="0041514B"/>
    <w:rsid w:val="00421C55"/>
    <w:rsid w:val="00422233"/>
    <w:rsid w:val="004222BD"/>
    <w:rsid w:val="004252AB"/>
    <w:rsid w:val="004253C0"/>
    <w:rsid w:val="00425872"/>
    <w:rsid w:val="00431DA8"/>
    <w:rsid w:val="00433748"/>
    <w:rsid w:val="00434B7C"/>
    <w:rsid w:val="004400C5"/>
    <w:rsid w:val="00440789"/>
    <w:rsid w:val="00445009"/>
    <w:rsid w:val="00447552"/>
    <w:rsid w:val="00447E55"/>
    <w:rsid w:val="00451579"/>
    <w:rsid w:val="00451F18"/>
    <w:rsid w:val="004525C8"/>
    <w:rsid w:val="004536D8"/>
    <w:rsid w:val="00455899"/>
    <w:rsid w:val="00460849"/>
    <w:rsid w:val="00462E28"/>
    <w:rsid w:val="00463643"/>
    <w:rsid w:val="00467277"/>
    <w:rsid w:val="00467AEB"/>
    <w:rsid w:val="0047373B"/>
    <w:rsid w:val="00473EC4"/>
    <w:rsid w:val="004807C7"/>
    <w:rsid w:val="00481477"/>
    <w:rsid w:val="0048468B"/>
    <w:rsid w:val="00486778"/>
    <w:rsid w:val="0049773C"/>
    <w:rsid w:val="00497B63"/>
    <w:rsid w:val="004A4246"/>
    <w:rsid w:val="004B3953"/>
    <w:rsid w:val="004B4406"/>
    <w:rsid w:val="004B70F5"/>
    <w:rsid w:val="004C2573"/>
    <w:rsid w:val="004D037B"/>
    <w:rsid w:val="004D0D09"/>
    <w:rsid w:val="004D0E44"/>
    <w:rsid w:val="004D266F"/>
    <w:rsid w:val="004D3D63"/>
    <w:rsid w:val="004D57C1"/>
    <w:rsid w:val="004D6C9B"/>
    <w:rsid w:val="004E0365"/>
    <w:rsid w:val="004E1C45"/>
    <w:rsid w:val="004E1EB8"/>
    <w:rsid w:val="004E226D"/>
    <w:rsid w:val="004E467C"/>
    <w:rsid w:val="004E4859"/>
    <w:rsid w:val="004E64E5"/>
    <w:rsid w:val="004E7E83"/>
    <w:rsid w:val="004E7F0A"/>
    <w:rsid w:val="004F3158"/>
    <w:rsid w:val="004F32B0"/>
    <w:rsid w:val="004F5D53"/>
    <w:rsid w:val="004F5F16"/>
    <w:rsid w:val="004F6490"/>
    <w:rsid w:val="00501309"/>
    <w:rsid w:val="005033A7"/>
    <w:rsid w:val="00504E1E"/>
    <w:rsid w:val="00505913"/>
    <w:rsid w:val="00507735"/>
    <w:rsid w:val="005105B4"/>
    <w:rsid w:val="00514AB2"/>
    <w:rsid w:val="0051573F"/>
    <w:rsid w:val="00516513"/>
    <w:rsid w:val="00523FDE"/>
    <w:rsid w:val="00525580"/>
    <w:rsid w:val="0052678D"/>
    <w:rsid w:val="0052690A"/>
    <w:rsid w:val="00527B56"/>
    <w:rsid w:val="00527E93"/>
    <w:rsid w:val="0053172B"/>
    <w:rsid w:val="005428AE"/>
    <w:rsid w:val="005518A7"/>
    <w:rsid w:val="00552014"/>
    <w:rsid w:val="00553783"/>
    <w:rsid w:val="00553D9F"/>
    <w:rsid w:val="00554794"/>
    <w:rsid w:val="00555210"/>
    <w:rsid w:val="00556931"/>
    <w:rsid w:val="0056071A"/>
    <w:rsid w:val="00561332"/>
    <w:rsid w:val="00561700"/>
    <w:rsid w:val="00561A00"/>
    <w:rsid w:val="0056241D"/>
    <w:rsid w:val="00562945"/>
    <w:rsid w:val="00565B11"/>
    <w:rsid w:val="00570881"/>
    <w:rsid w:val="00573947"/>
    <w:rsid w:val="00573B83"/>
    <w:rsid w:val="0057688B"/>
    <w:rsid w:val="00576AC7"/>
    <w:rsid w:val="00576B96"/>
    <w:rsid w:val="00580429"/>
    <w:rsid w:val="00584C01"/>
    <w:rsid w:val="00585DD7"/>
    <w:rsid w:val="00586971"/>
    <w:rsid w:val="005916B2"/>
    <w:rsid w:val="00592DE5"/>
    <w:rsid w:val="005937A4"/>
    <w:rsid w:val="0059546B"/>
    <w:rsid w:val="00596BD1"/>
    <w:rsid w:val="00597119"/>
    <w:rsid w:val="005A02C3"/>
    <w:rsid w:val="005A2411"/>
    <w:rsid w:val="005A310F"/>
    <w:rsid w:val="005A6697"/>
    <w:rsid w:val="005A7B79"/>
    <w:rsid w:val="005A7F56"/>
    <w:rsid w:val="005B29D9"/>
    <w:rsid w:val="005B4923"/>
    <w:rsid w:val="005B4E37"/>
    <w:rsid w:val="005B6DF8"/>
    <w:rsid w:val="005C176F"/>
    <w:rsid w:val="005C28BA"/>
    <w:rsid w:val="005C3D92"/>
    <w:rsid w:val="005C508B"/>
    <w:rsid w:val="005C56EC"/>
    <w:rsid w:val="005C6472"/>
    <w:rsid w:val="005C6EF4"/>
    <w:rsid w:val="005D471E"/>
    <w:rsid w:val="005D6828"/>
    <w:rsid w:val="005D6FA1"/>
    <w:rsid w:val="005D7B59"/>
    <w:rsid w:val="005E086F"/>
    <w:rsid w:val="005E30C0"/>
    <w:rsid w:val="005E5905"/>
    <w:rsid w:val="005E6126"/>
    <w:rsid w:val="005F14B5"/>
    <w:rsid w:val="005F23BE"/>
    <w:rsid w:val="005F4DB9"/>
    <w:rsid w:val="005F58D0"/>
    <w:rsid w:val="005F73A2"/>
    <w:rsid w:val="005F79CC"/>
    <w:rsid w:val="005F7B71"/>
    <w:rsid w:val="00602398"/>
    <w:rsid w:val="006032C7"/>
    <w:rsid w:val="00607D15"/>
    <w:rsid w:val="006119EE"/>
    <w:rsid w:val="00614BD5"/>
    <w:rsid w:val="00617BC2"/>
    <w:rsid w:val="006224C4"/>
    <w:rsid w:val="0062420D"/>
    <w:rsid w:val="006254E7"/>
    <w:rsid w:val="0062652F"/>
    <w:rsid w:val="00626D44"/>
    <w:rsid w:val="00631C46"/>
    <w:rsid w:val="006353DC"/>
    <w:rsid w:val="00637492"/>
    <w:rsid w:val="00641518"/>
    <w:rsid w:val="00641B81"/>
    <w:rsid w:val="00642069"/>
    <w:rsid w:val="00642977"/>
    <w:rsid w:val="00646E57"/>
    <w:rsid w:val="0065101E"/>
    <w:rsid w:val="00652577"/>
    <w:rsid w:val="00652DE2"/>
    <w:rsid w:val="00655A69"/>
    <w:rsid w:val="00656DE7"/>
    <w:rsid w:val="0066412B"/>
    <w:rsid w:val="00664A80"/>
    <w:rsid w:val="0066526B"/>
    <w:rsid w:val="00665F30"/>
    <w:rsid w:val="006667A2"/>
    <w:rsid w:val="00670886"/>
    <w:rsid w:val="006719FB"/>
    <w:rsid w:val="00671F67"/>
    <w:rsid w:val="006802D9"/>
    <w:rsid w:val="006814C5"/>
    <w:rsid w:val="00682508"/>
    <w:rsid w:val="006829F9"/>
    <w:rsid w:val="0068368D"/>
    <w:rsid w:val="00683F88"/>
    <w:rsid w:val="00690B7C"/>
    <w:rsid w:val="00693E7E"/>
    <w:rsid w:val="006947CA"/>
    <w:rsid w:val="00695C00"/>
    <w:rsid w:val="00697E14"/>
    <w:rsid w:val="006A04DD"/>
    <w:rsid w:val="006A0AD4"/>
    <w:rsid w:val="006A1AC2"/>
    <w:rsid w:val="006A2F12"/>
    <w:rsid w:val="006A4325"/>
    <w:rsid w:val="006A4DB6"/>
    <w:rsid w:val="006A50DB"/>
    <w:rsid w:val="006B3250"/>
    <w:rsid w:val="006B3471"/>
    <w:rsid w:val="006B3542"/>
    <w:rsid w:val="006B3E4F"/>
    <w:rsid w:val="006B4D81"/>
    <w:rsid w:val="006B6788"/>
    <w:rsid w:val="006C1591"/>
    <w:rsid w:val="006C73EA"/>
    <w:rsid w:val="006D061A"/>
    <w:rsid w:val="006D2B55"/>
    <w:rsid w:val="006D2C4F"/>
    <w:rsid w:val="006D71EA"/>
    <w:rsid w:val="006E0D17"/>
    <w:rsid w:val="006E1876"/>
    <w:rsid w:val="006E56CB"/>
    <w:rsid w:val="006F0498"/>
    <w:rsid w:val="006F08C8"/>
    <w:rsid w:val="006F26C3"/>
    <w:rsid w:val="006F2884"/>
    <w:rsid w:val="006F429D"/>
    <w:rsid w:val="006F7476"/>
    <w:rsid w:val="0070435B"/>
    <w:rsid w:val="007049BD"/>
    <w:rsid w:val="00707B25"/>
    <w:rsid w:val="00710815"/>
    <w:rsid w:val="00712026"/>
    <w:rsid w:val="007144B6"/>
    <w:rsid w:val="00715850"/>
    <w:rsid w:val="007165B3"/>
    <w:rsid w:val="00716F05"/>
    <w:rsid w:val="00717008"/>
    <w:rsid w:val="00723B06"/>
    <w:rsid w:val="00723E60"/>
    <w:rsid w:val="00730A0C"/>
    <w:rsid w:val="00730DA7"/>
    <w:rsid w:val="00731D77"/>
    <w:rsid w:val="00732846"/>
    <w:rsid w:val="007341C6"/>
    <w:rsid w:val="0073771C"/>
    <w:rsid w:val="00741670"/>
    <w:rsid w:val="00741784"/>
    <w:rsid w:val="007508C7"/>
    <w:rsid w:val="00750A28"/>
    <w:rsid w:val="00752350"/>
    <w:rsid w:val="0076116E"/>
    <w:rsid w:val="00762780"/>
    <w:rsid w:val="007652B6"/>
    <w:rsid w:val="00771B17"/>
    <w:rsid w:val="00771C8F"/>
    <w:rsid w:val="00773393"/>
    <w:rsid w:val="0077346B"/>
    <w:rsid w:val="00774386"/>
    <w:rsid w:val="00777BB5"/>
    <w:rsid w:val="0078040D"/>
    <w:rsid w:val="00782826"/>
    <w:rsid w:val="0078492A"/>
    <w:rsid w:val="00784F20"/>
    <w:rsid w:val="00785709"/>
    <w:rsid w:val="007902CB"/>
    <w:rsid w:val="00791B59"/>
    <w:rsid w:val="0079252F"/>
    <w:rsid w:val="0079422A"/>
    <w:rsid w:val="00795363"/>
    <w:rsid w:val="007957C1"/>
    <w:rsid w:val="007A2933"/>
    <w:rsid w:val="007A484E"/>
    <w:rsid w:val="007A4EF3"/>
    <w:rsid w:val="007A5236"/>
    <w:rsid w:val="007A5964"/>
    <w:rsid w:val="007A6A86"/>
    <w:rsid w:val="007A7F8D"/>
    <w:rsid w:val="007B03DF"/>
    <w:rsid w:val="007B066E"/>
    <w:rsid w:val="007B3AF2"/>
    <w:rsid w:val="007B4ECE"/>
    <w:rsid w:val="007B7927"/>
    <w:rsid w:val="007C0237"/>
    <w:rsid w:val="007C098E"/>
    <w:rsid w:val="007C37E1"/>
    <w:rsid w:val="007C3C85"/>
    <w:rsid w:val="007C4ED2"/>
    <w:rsid w:val="007C554C"/>
    <w:rsid w:val="007C5DFC"/>
    <w:rsid w:val="007C6C81"/>
    <w:rsid w:val="007C738F"/>
    <w:rsid w:val="007D3F5A"/>
    <w:rsid w:val="007D40E2"/>
    <w:rsid w:val="007D4FAB"/>
    <w:rsid w:val="007D58D8"/>
    <w:rsid w:val="007D600B"/>
    <w:rsid w:val="007D6C9D"/>
    <w:rsid w:val="007E33C6"/>
    <w:rsid w:val="007E7A81"/>
    <w:rsid w:val="007F07CF"/>
    <w:rsid w:val="007F1B1D"/>
    <w:rsid w:val="007F38CA"/>
    <w:rsid w:val="007F4775"/>
    <w:rsid w:val="007F4FB5"/>
    <w:rsid w:val="0080072D"/>
    <w:rsid w:val="00803EBB"/>
    <w:rsid w:val="0080406A"/>
    <w:rsid w:val="00804806"/>
    <w:rsid w:val="00810E6F"/>
    <w:rsid w:val="00815980"/>
    <w:rsid w:val="00815AC5"/>
    <w:rsid w:val="00817DAA"/>
    <w:rsid w:val="00821C3C"/>
    <w:rsid w:val="008233A3"/>
    <w:rsid w:val="00832218"/>
    <w:rsid w:val="00832C94"/>
    <w:rsid w:val="00832F44"/>
    <w:rsid w:val="00836526"/>
    <w:rsid w:val="00836DEB"/>
    <w:rsid w:val="00844E94"/>
    <w:rsid w:val="00845A08"/>
    <w:rsid w:val="00846686"/>
    <w:rsid w:val="008508A3"/>
    <w:rsid w:val="008528CB"/>
    <w:rsid w:val="00853049"/>
    <w:rsid w:val="00853A46"/>
    <w:rsid w:val="00853AB8"/>
    <w:rsid w:val="00857A69"/>
    <w:rsid w:val="008622F7"/>
    <w:rsid w:val="00863C8C"/>
    <w:rsid w:val="00863CE8"/>
    <w:rsid w:val="00871849"/>
    <w:rsid w:val="0087597E"/>
    <w:rsid w:val="00876A66"/>
    <w:rsid w:val="00882F81"/>
    <w:rsid w:val="00884DCF"/>
    <w:rsid w:val="0088509D"/>
    <w:rsid w:val="00885961"/>
    <w:rsid w:val="00885D5E"/>
    <w:rsid w:val="00885E9A"/>
    <w:rsid w:val="00886B67"/>
    <w:rsid w:val="008904C0"/>
    <w:rsid w:val="00892299"/>
    <w:rsid w:val="00893552"/>
    <w:rsid w:val="008943C6"/>
    <w:rsid w:val="0089490E"/>
    <w:rsid w:val="008959B5"/>
    <w:rsid w:val="00895E07"/>
    <w:rsid w:val="00897DCF"/>
    <w:rsid w:val="008A0484"/>
    <w:rsid w:val="008A1085"/>
    <w:rsid w:val="008A221A"/>
    <w:rsid w:val="008A3748"/>
    <w:rsid w:val="008A49D1"/>
    <w:rsid w:val="008A5A0A"/>
    <w:rsid w:val="008A7558"/>
    <w:rsid w:val="008A774A"/>
    <w:rsid w:val="008A7D56"/>
    <w:rsid w:val="008B1662"/>
    <w:rsid w:val="008B2A63"/>
    <w:rsid w:val="008B4C2C"/>
    <w:rsid w:val="008C0534"/>
    <w:rsid w:val="008C404A"/>
    <w:rsid w:val="008C54B7"/>
    <w:rsid w:val="008C5ACA"/>
    <w:rsid w:val="008D07A3"/>
    <w:rsid w:val="008D0F1D"/>
    <w:rsid w:val="008D2A4D"/>
    <w:rsid w:val="008D5D4F"/>
    <w:rsid w:val="008D6E41"/>
    <w:rsid w:val="008D7552"/>
    <w:rsid w:val="008D7F6A"/>
    <w:rsid w:val="008E2410"/>
    <w:rsid w:val="008E261E"/>
    <w:rsid w:val="008E3A4A"/>
    <w:rsid w:val="008E3B91"/>
    <w:rsid w:val="008E75E3"/>
    <w:rsid w:val="008F22AA"/>
    <w:rsid w:val="008F23ED"/>
    <w:rsid w:val="008F3E7A"/>
    <w:rsid w:val="008F503B"/>
    <w:rsid w:val="008F6254"/>
    <w:rsid w:val="008F7450"/>
    <w:rsid w:val="00902A2A"/>
    <w:rsid w:val="009045F1"/>
    <w:rsid w:val="009059CE"/>
    <w:rsid w:val="00906D27"/>
    <w:rsid w:val="0090769E"/>
    <w:rsid w:val="009121E9"/>
    <w:rsid w:val="00912607"/>
    <w:rsid w:val="009134F5"/>
    <w:rsid w:val="00916F4F"/>
    <w:rsid w:val="00920488"/>
    <w:rsid w:val="00920B15"/>
    <w:rsid w:val="009211F1"/>
    <w:rsid w:val="0092171E"/>
    <w:rsid w:val="009223B7"/>
    <w:rsid w:val="009256A1"/>
    <w:rsid w:val="00927BF1"/>
    <w:rsid w:val="00931B5D"/>
    <w:rsid w:val="009328CA"/>
    <w:rsid w:val="00934081"/>
    <w:rsid w:val="00936B68"/>
    <w:rsid w:val="009407F9"/>
    <w:rsid w:val="009412FD"/>
    <w:rsid w:val="00947219"/>
    <w:rsid w:val="00950BB5"/>
    <w:rsid w:val="00950DFB"/>
    <w:rsid w:val="00951C38"/>
    <w:rsid w:val="00955218"/>
    <w:rsid w:val="00957A8A"/>
    <w:rsid w:val="0096002C"/>
    <w:rsid w:val="00963EF7"/>
    <w:rsid w:val="00964226"/>
    <w:rsid w:val="009643C8"/>
    <w:rsid w:val="009670D1"/>
    <w:rsid w:val="0097489D"/>
    <w:rsid w:val="00974A04"/>
    <w:rsid w:val="00974BD0"/>
    <w:rsid w:val="00980F8D"/>
    <w:rsid w:val="009813FF"/>
    <w:rsid w:val="00982E92"/>
    <w:rsid w:val="00983B31"/>
    <w:rsid w:val="0098424F"/>
    <w:rsid w:val="0098755B"/>
    <w:rsid w:val="0098781C"/>
    <w:rsid w:val="00992C6E"/>
    <w:rsid w:val="00992D99"/>
    <w:rsid w:val="00995AF5"/>
    <w:rsid w:val="0099734C"/>
    <w:rsid w:val="009A2367"/>
    <w:rsid w:val="009A30AB"/>
    <w:rsid w:val="009A3704"/>
    <w:rsid w:val="009A53E1"/>
    <w:rsid w:val="009B12A5"/>
    <w:rsid w:val="009B3951"/>
    <w:rsid w:val="009B3E42"/>
    <w:rsid w:val="009B4315"/>
    <w:rsid w:val="009B4A64"/>
    <w:rsid w:val="009C2FF9"/>
    <w:rsid w:val="009C4B99"/>
    <w:rsid w:val="009C553B"/>
    <w:rsid w:val="009C67E7"/>
    <w:rsid w:val="009C6A06"/>
    <w:rsid w:val="009C748C"/>
    <w:rsid w:val="009C7C3A"/>
    <w:rsid w:val="009D0A44"/>
    <w:rsid w:val="009D192F"/>
    <w:rsid w:val="009D25DF"/>
    <w:rsid w:val="009D6FB9"/>
    <w:rsid w:val="009D701E"/>
    <w:rsid w:val="009E25CA"/>
    <w:rsid w:val="009E2B92"/>
    <w:rsid w:val="009E4E35"/>
    <w:rsid w:val="009F0D15"/>
    <w:rsid w:val="009F2C30"/>
    <w:rsid w:val="009F2FCC"/>
    <w:rsid w:val="009F47B8"/>
    <w:rsid w:val="009F779F"/>
    <w:rsid w:val="00A015E3"/>
    <w:rsid w:val="00A0174F"/>
    <w:rsid w:val="00A0195D"/>
    <w:rsid w:val="00A02464"/>
    <w:rsid w:val="00A03DD6"/>
    <w:rsid w:val="00A0591B"/>
    <w:rsid w:val="00A06E39"/>
    <w:rsid w:val="00A07B42"/>
    <w:rsid w:val="00A07EB5"/>
    <w:rsid w:val="00A110EA"/>
    <w:rsid w:val="00A1121C"/>
    <w:rsid w:val="00A118DD"/>
    <w:rsid w:val="00A13952"/>
    <w:rsid w:val="00A13AD5"/>
    <w:rsid w:val="00A1563B"/>
    <w:rsid w:val="00A17304"/>
    <w:rsid w:val="00A177DC"/>
    <w:rsid w:val="00A20016"/>
    <w:rsid w:val="00A21C8E"/>
    <w:rsid w:val="00A234F7"/>
    <w:rsid w:val="00A264FE"/>
    <w:rsid w:val="00A268C9"/>
    <w:rsid w:val="00A2715F"/>
    <w:rsid w:val="00A2796D"/>
    <w:rsid w:val="00A303ED"/>
    <w:rsid w:val="00A306C3"/>
    <w:rsid w:val="00A30808"/>
    <w:rsid w:val="00A31F29"/>
    <w:rsid w:val="00A3456C"/>
    <w:rsid w:val="00A359AA"/>
    <w:rsid w:val="00A4279D"/>
    <w:rsid w:val="00A44664"/>
    <w:rsid w:val="00A456F4"/>
    <w:rsid w:val="00A474F7"/>
    <w:rsid w:val="00A478AE"/>
    <w:rsid w:val="00A50F52"/>
    <w:rsid w:val="00A5104E"/>
    <w:rsid w:val="00A51A55"/>
    <w:rsid w:val="00A52D0D"/>
    <w:rsid w:val="00A601D4"/>
    <w:rsid w:val="00A60A5F"/>
    <w:rsid w:val="00A6323F"/>
    <w:rsid w:val="00A6528F"/>
    <w:rsid w:val="00A66C81"/>
    <w:rsid w:val="00A707F6"/>
    <w:rsid w:val="00A70888"/>
    <w:rsid w:val="00A74D7F"/>
    <w:rsid w:val="00A756E7"/>
    <w:rsid w:val="00A77823"/>
    <w:rsid w:val="00A77B10"/>
    <w:rsid w:val="00A85CAB"/>
    <w:rsid w:val="00A91FFB"/>
    <w:rsid w:val="00A9302A"/>
    <w:rsid w:val="00A95AB8"/>
    <w:rsid w:val="00AA08A1"/>
    <w:rsid w:val="00AA0C44"/>
    <w:rsid w:val="00AA0DBF"/>
    <w:rsid w:val="00AA14DF"/>
    <w:rsid w:val="00AA3637"/>
    <w:rsid w:val="00AA4349"/>
    <w:rsid w:val="00AA4500"/>
    <w:rsid w:val="00AA49E8"/>
    <w:rsid w:val="00AA7211"/>
    <w:rsid w:val="00AB1A9A"/>
    <w:rsid w:val="00AB2C55"/>
    <w:rsid w:val="00AB3868"/>
    <w:rsid w:val="00AB4B76"/>
    <w:rsid w:val="00AC0CD1"/>
    <w:rsid w:val="00AC0E35"/>
    <w:rsid w:val="00AC1727"/>
    <w:rsid w:val="00AC20C3"/>
    <w:rsid w:val="00AC4961"/>
    <w:rsid w:val="00AC6EE1"/>
    <w:rsid w:val="00AD2398"/>
    <w:rsid w:val="00AD24D7"/>
    <w:rsid w:val="00AD40ED"/>
    <w:rsid w:val="00AD4418"/>
    <w:rsid w:val="00AD48EB"/>
    <w:rsid w:val="00AD6DA4"/>
    <w:rsid w:val="00AE0200"/>
    <w:rsid w:val="00AE1946"/>
    <w:rsid w:val="00AF533D"/>
    <w:rsid w:val="00AF7166"/>
    <w:rsid w:val="00AF7924"/>
    <w:rsid w:val="00AF7A57"/>
    <w:rsid w:val="00B00599"/>
    <w:rsid w:val="00B04388"/>
    <w:rsid w:val="00B050ED"/>
    <w:rsid w:val="00B0536A"/>
    <w:rsid w:val="00B05668"/>
    <w:rsid w:val="00B05FCD"/>
    <w:rsid w:val="00B07C41"/>
    <w:rsid w:val="00B11045"/>
    <w:rsid w:val="00B1105B"/>
    <w:rsid w:val="00B14222"/>
    <w:rsid w:val="00B1593E"/>
    <w:rsid w:val="00B15D1B"/>
    <w:rsid w:val="00B165BC"/>
    <w:rsid w:val="00B23F4C"/>
    <w:rsid w:val="00B30B06"/>
    <w:rsid w:val="00B30F92"/>
    <w:rsid w:val="00B373EA"/>
    <w:rsid w:val="00B37ED8"/>
    <w:rsid w:val="00B52356"/>
    <w:rsid w:val="00B52DCC"/>
    <w:rsid w:val="00B571FD"/>
    <w:rsid w:val="00B65189"/>
    <w:rsid w:val="00B65638"/>
    <w:rsid w:val="00B66DA5"/>
    <w:rsid w:val="00B70B7F"/>
    <w:rsid w:val="00B72C39"/>
    <w:rsid w:val="00B7317A"/>
    <w:rsid w:val="00B763AB"/>
    <w:rsid w:val="00B81B8F"/>
    <w:rsid w:val="00B81E4A"/>
    <w:rsid w:val="00B82659"/>
    <w:rsid w:val="00B84529"/>
    <w:rsid w:val="00B8486F"/>
    <w:rsid w:val="00B861A3"/>
    <w:rsid w:val="00B86501"/>
    <w:rsid w:val="00B9076D"/>
    <w:rsid w:val="00B91573"/>
    <w:rsid w:val="00B9249F"/>
    <w:rsid w:val="00B92DF5"/>
    <w:rsid w:val="00B968AD"/>
    <w:rsid w:val="00B97611"/>
    <w:rsid w:val="00BA28D7"/>
    <w:rsid w:val="00BB1221"/>
    <w:rsid w:val="00BB6581"/>
    <w:rsid w:val="00BB7BC8"/>
    <w:rsid w:val="00BC012C"/>
    <w:rsid w:val="00BC0279"/>
    <w:rsid w:val="00BC56D7"/>
    <w:rsid w:val="00BC6371"/>
    <w:rsid w:val="00BD10B6"/>
    <w:rsid w:val="00BD35B4"/>
    <w:rsid w:val="00BD43B6"/>
    <w:rsid w:val="00BD699F"/>
    <w:rsid w:val="00BE045B"/>
    <w:rsid w:val="00BE24B6"/>
    <w:rsid w:val="00BE2AE9"/>
    <w:rsid w:val="00BE327C"/>
    <w:rsid w:val="00BE518F"/>
    <w:rsid w:val="00BE6007"/>
    <w:rsid w:val="00BE6061"/>
    <w:rsid w:val="00BE6A43"/>
    <w:rsid w:val="00BF1C23"/>
    <w:rsid w:val="00BF2179"/>
    <w:rsid w:val="00BF6240"/>
    <w:rsid w:val="00BF6994"/>
    <w:rsid w:val="00C0463E"/>
    <w:rsid w:val="00C0674C"/>
    <w:rsid w:val="00C1264D"/>
    <w:rsid w:val="00C13DA9"/>
    <w:rsid w:val="00C14E57"/>
    <w:rsid w:val="00C20EB6"/>
    <w:rsid w:val="00C2121D"/>
    <w:rsid w:val="00C214BD"/>
    <w:rsid w:val="00C23217"/>
    <w:rsid w:val="00C26BC9"/>
    <w:rsid w:val="00C27BED"/>
    <w:rsid w:val="00C32D10"/>
    <w:rsid w:val="00C36A16"/>
    <w:rsid w:val="00C36F22"/>
    <w:rsid w:val="00C375DB"/>
    <w:rsid w:val="00C40C31"/>
    <w:rsid w:val="00C41D52"/>
    <w:rsid w:val="00C43731"/>
    <w:rsid w:val="00C44291"/>
    <w:rsid w:val="00C466C7"/>
    <w:rsid w:val="00C51917"/>
    <w:rsid w:val="00C52681"/>
    <w:rsid w:val="00C54213"/>
    <w:rsid w:val="00C5527F"/>
    <w:rsid w:val="00C57366"/>
    <w:rsid w:val="00C634E4"/>
    <w:rsid w:val="00C65515"/>
    <w:rsid w:val="00C6789E"/>
    <w:rsid w:val="00C760B9"/>
    <w:rsid w:val="00C760F4"/>
    <w:rsid w:val="00C77615"/>
    <w:rsid w:val="00C83514"/>
    <w:rsid w:val="00C85F67"/>
    <w:rsid w:val="00C9060F"/>
    <w:rsid w:val="00C9315E"/>
    <w:rsid w:val="00C9407F"/>
    <w:rsid w:val="00C9474B"/>
    <w:rsid w:val="00C947C6"/>
    <w:rsid w:val="00C951A8"/>
    <w:rsid w:val="00C970A8"/>
    <w:rsid w:val="00C97E0A"/>
    <w:rsid w:val="00C97F90"/>
    <w:rsid w:val="00CA152B"/>
    <w:rsid w:val="00CA32C4"/>
    <w:rsid w:val="00CA4387"/>
    <w:rsid w:val="00CA545E"/>
    <w:rsid w:val="00CA5696"/>
    <w:rsid w:val="00CA5D44"/>
    <w:rsid w:val="00CA6CCE"/>
    <w:rsid w:val="00CB7B02"/>
    <w:rsid w:val="00CC0113"/>
    <w:rsid w:val="00CC0B50"/>
    <w:rsid w:val="00CC0EF9"/>
    <w:rsid w:val="00CC19AA"/>
    <w:rsid w:val="00CC31A7"/>
    <w:rsid w:val="00CC3226"/>
    <w:rsid w:val="00CC5CB4"/>
    <w:rsid w:val="00CC6FBE"/>
    <w:rsid w:val="00CC76CB"/>
    <w:rsid w:val="00CC7F4E"/>
    <w:rsid w:val="00CD0FEB"/>
    <w:rsid w:val="00CD129C"/>
    <w:rsid w:val="00CD3EFB"/>
    <w:rsid w:val="00CD4F59"/>
    <w:rsid w:val="00CD5C07"/>
    <w:rsid w:val="00CE02F0"/>
    <w:rsid w:val="00CE0952"/>
    <w:rsid w:val="00CE13F1"/>
    <w:rsid w:val="00CE39C5"/>
    <w:rsid w:val="00CE59C6"/>
    <w:rsid w:val="00CF044E"/>
    <w:rsid w:val="00CF0AEC"/>
    <w:rsid w:val="00CF0D23"/>
    <w:rsid w:val="00CF0F47"/>
    <w:rsid w:val="00CF2734"/>
    <w:rsid w:val="00CF27DC"/>
    <w:rsid w:val="00CF45DE"/>
    <w:rsid w:val="00CF6C8F"/>
    <w:rsid w:val="00D03A57"/>
    <w:rsid w:val="00D04D34"/>
    <w:rsid w:val="00D05112"/>
    <w:rsid w:val="00D07A6C"/>
    <w:rsid w:val="00D12E69"/>
    <w:rsid w:val="00D2052C"/>
    <w:rsid w:val="00D21106"/>
    <w:rsid w:val="00D2556D"/>
    <w:rsid w:val="00D2699B"/>
    <w:rsid w:val="00D32B3F"/>
    <w:rsid w:val="00D33566"/>
    <w:rsid w:val="00D36265"/>
    <w:rsid w:val="00D37DCA"/>
    <w:rsid w:val="00D37EC7"/>
    <w:rsid w:val="00D4036A"/>
    <w:rsid w:val="00D4226A"/>
    <w:rsid w:val="00D422CE"/>
    <w:rsid w:val="00D4463B"/>
    <w:rsid w:val="00D4736F"/>
    <w:rsid w:val="00D54918"/>
    <w:rsid w:val="00D56B74"/>
    <w:rsid w:val="00D57732"/>
    <w:rsid w:val="00D60056"/>
    <w:rsid w:val="00D60808"/>
    <w:rsid w:val="00D61ED7"/>
    <w:rsid w:val="00D6208B"/>
    <w:rsid w:val="00D62F43"/>
    <w:rsid w:val="00D71A53"/>
    <w:rsid w:val="00D7497F"/>
    <w:rsid w:val="00D75C84"/>
    <w:rsid w:val="00D77A12"/>
    <w:rsid w:val="00D81CF7"/>
    <w:rsid w:val="00D81D9A"/>
    <w:rsid w:val="00D82D18"/>
    <w:rsid w:val="00D8414B"/>
    <w:rsid w:val="00D85557"/>
    <w:rsid w:val="00D86D43"/>
    <w:rsid w:val="00D87254"/>
    <w:rsid w:val="00DA1CA1"/>
    <w:rsid w:val="00DA24AB"/>
    <w:rsid w:val="00DA3458"/>
    <w:rsid w:val="00DA3D5C"/>
    <w:rsid w:val="00DA761D"/>
    <w:rsid w:val="00DB04D1"/>
    <w:rsid w:val="00DB245C"/>
    <w:rsid w:val="00DB27F8"/>
    <w:rsid w:val="00DC00F0"/>
    <w:rsid w:val="00DC06DD"/>
    <w:rsid w:val="00DC2197"/>
    <w:rsid w:val="00DC2896"/>
    <w:rsid w:val="00DC3215"/>
    <w:rsid w:val="00DC754B"/>
    <w:rsid w:val="00DC7C13"/>
    <w:rsid w:val="00DD03CC"/>
    <w:rsid w:val="00DD090D"/>
    <w:rsid w:val="00DD099F"/>
    <w:rsid w:val="00DD162D"/>
    <w:rsid w:val="00DD2216"/>
    <w:rsid w:val="00DD470B"/>
    <w:rsid w:val="00DD63B5"/>
    <w:rsid w:val="00DD6C6F"/>
    <w:rsid w:val="00DD79A3"/>
    <w:rsid w:val="00DE02E8"/>
    <w:rsid w:val="00DE146F"/>
    <w:rsid w:val="00DE19E0"/>
    <w:rsid w:val="00DF06A7"/>
    <w:rsid w:val="00DF3E32"/>
    <w:rsid w:val="00DF713F"/>
    <w:rsid w:val="00E01355"/>
    <w:rsid w:val="00E02923"/>
    <w:rsid w:val="00E03845"/>
    <w:rsid w:val="00E07A57"/>
    <w:rsid w:val="00E111BF"/>
    <w:rsid w:val="00E1420C"/>
    <w:rsid w:val="00E14E04"/>
    <w:rsid w:val="00E1520E"/>
    <w:rsid w:val="00E16AC2"/>
    <w:rsid w:val="00E21C3E"/>
    <w:rsid w:val="00E278FD"/>
    <w:rsid w:val="00E3035B"/>
    <w:rsid w:val="00E3215C"/>
    <w:rsid w:val="00E322FA"/>
    <w:rsid w:val="00E33307"/>
    <w:rsid w:val="00E339DE"/>
    <w:rsid w:val="00E34254"/>
    <w:rsid w:val="00E3599C"/>
    <w:rsid w:val="00E360CE"/>
    <w:rsid w:val="00E37E2E"/>
    <w:rsid w:val="00E46FA0"/>
    <w:rsid w:val="00E478E6"/>
    <w:rsid w:val="00E50DB6"/>
    <w:rsid w:val="00E51A9C"/>
    <w:rsid w:val="00E522A1"/>
    <w:rsid w:val="00E53EA1"/>
    <w:rsid w:val="00E541BD"/>
    <w:rsid w:val="00E548E1"/>
    <w:rsid w:val="00E54D25"/>
    <w:rsid w:val="00E563B4"/>
    <w:rsid w:val="00E563BC"/>
    <w:rsid w:val="00E56767"/>
    <w:rsid w:val="00E62A32"/>
    <w:rsid w:val="00E6329A"/>
    <w:rsid w:val="00E67478"/>
    <w:rsid w:val="00E67629"/>
    <w:rsid w:val="00E70905"/>
    <w:rsid w:val="00E736F5"/>
    <w:rsid w:val="00E7542C"/>
    <w:rsid w:val="00E77518"/>
    <w:rsid w:val="00E8211F"/>
    <w:rsid w:val="00E84E87"/>
    <w:rsid w:val="00E867FD"/>
    <w:rsid w:val="00E900A6"/>
    <w:rsid w:val="00E929D2"/>
    <w:rsid w:val="00E933F1"/>
    <w:rsid w:val="00E96061"/>
    <w:rsid w:val="00E97BED"/>
    <w:rsid w:val="00E97D94"/>
    <w:rsid w:val="00EA1305"/>
    <w:rsid w:val="00EA35C4"/>
    <w:rsid w:val="00EA51EA"/>
    <w:rsid w:val="00EA6DAF"/>
    <w:rsid w:val="00EB04B2"/>
    <w:rsid w:val="00EB0EB4"/>
    <w:rsid w:val="00EB3B76"/>
    <w:rsid w:val="00EB3CF5"/>
    <w:rsid w:val="00EC1D10"/>
    <w:rsid w:val="00EC1E15"/>
    <w:rsid w:val="00ED0BAB"/>
    <w:rsid w:val="00ED1583"/>
    <w:rsid w:val="00ED514D"/>
    <w:rsid w:val="00ED59A9"/>
    <w:rsid w:val="00ED69B8"/>
    <w:rsid w:val="00ED6A44"/>
    <w:rsid w:val="00EE264F"/>
    <w:rsid w:val="00EF045E"/>
    <w:rsid w:val="00F00EE3"/>
    <w:rsid w:val="00F05C9F"/>
    <w:rsid w:val="00F07AE6"/>
    <w:rsid w:val="00F07B39"/>
    <w:rsid w:val="00F07DF9"/>
    <w:rsid w:val="00F17786"/>
    <w:rsid w:val="00F250C1"/>
    <w:rsid w:val="00F2577D"/>
    <w:rsid w:val="00F2581E"/>
    <w:rsid w:val="00F25D34"/>
    <w:rsid w:val="00F26030"/>
    <w:rsid w:val="00F26777"/>
    <w:rsid w:val="00F3173C"/>
    <w:rsid w:val="00F32CB7"/>
    <w:rsid w:val="00F34A3A"/>
    <w:rsid w:val="00F36CEF"/>
    <w:rsid w:val="00F40112"/>
    <w:rsid w:val="00F45BA1"/>
    <w:rsid w:val="00F46683"/>
    <w:rsid w:val="00F47ADF"/>
    <w:rsid w:val="00F52039"/>
    <w:rsid w:val="00F53A13"/>
    <w:rsid w:val="00F5407F"/>
    <w:rsid w:val="00F54541"/>
    <w:rsid w:val="00F563CF"/>
    <w:rsid w:val="00F566BC"/>
    <w:rsid w:val="00F56B53"/>
    <w:rsid w:val="00F5721D"/>
    <w:rsid w:val="00F61F5A"/>
    <w:rsid w:val="00F70B47"/>
    <w:rsid w:val="00F721B9"/>
    <w:rsid w:val="00F730DE"/>
    <w:rsid w:val="00F75F4C"/>
    <w:rsid w:val="00F76827"/>
    <w:rsid w:val="00F83ED6"/>
    <w:rsid w:val="00F841EF"/>
    <w:rsid w:val="00F872AA"/>
    <w:rsid w:val="00F9309D"/>
    <w:rsid w:val="00F94029"/>
    <w:rsid w:val="00F9576A"/>
    <w:rsid w:val="00FA079F"/>
    <w:rsid w:val="00FA213F"/>
    <w:rsid w:val="00FA28DB"/>
    <w:rsid w:val="00FA2B0C"/>
    <w:rsid w:val="00FA2FD6"/>
    <w:rsid w:val="00FA5203"/>
    <w:rsid w:val="00FA73CD"/>
    <w:rsid w:val="00FB1B41"/>
    <w:rsid w:val="00FB3063"/>
    <w:rsid w:val="00FB3DE7"/>
    <w:rsid w:val="00FB429E"/>
    <w:rsid w:val="00FB5843"/>
    <w:rsid w:val="00FC2CCD"/>
    <w:rsid w:val="00FC2D45"/>
    <w:rsid w:val="00FC2E83"/>
    <w:rsid w:val="00FC4042"/>
    <w:rsid w:val="00FC563F"/>
    <w:rsid w:val="00FD0D89"/>
    <w:rsid w:val="00FD0FDF"/>
    <w:rsid w:val="00FD10A3"/>
    <w:rsid w:val="00FD33D9"/>
    <w:rsid w:val="00FD6876"/>
    <w:rsid w:val="00FD7BAD"/>
    <w:rsid w:val="00FE1757"/>
    <w:rsid w:val="00FE1A85"/>
    <w:rsid w:val="00FE53E2"/>
    <w:rsid w:val="00FE6C1C"/>
    <w:rsid w:val="00FE7DF5"/>
    <w:rsid w:val="00FF26D9"/>
    <w:rsid w:val="00FF4898"/>
    <w:rsid w:val="00FF49E5"/>
    <w:rsid w:val="00FF680D"/>
    <w:rsid w:val="00FF6968"/>
    <w:rsid w:val="00FF6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8B819-70CC-4678-996B-B388D8D8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177DC"/>
    <w:pPr>
      <w:keepNext/>
      <w:keepLines/>
      <w:spacing w:before="480" w:after="0"/>
      <w:outlineLvl w:val="0"/>
    </w:pPr>
    <w:rPr>
      <w:rFonts w:ascii="Cambria" w:eastAsia="Times New Roman" w:hAnsi="Cambria" w:cs="Times New Roman"/>
      <w:b/>
      <w:bCs/>
      <w:color w:val="365F91"/>
      <w:sz w:val="28"/>
      <w:szCs w:val="28"/>
    </w:rPr>
  </w:style>
  <w:style w:type="paragraph" w:styleId="Balk2">
    <w:name w:val="heading 2"/>
    <w:basedOn w:val="Normal"/>
    <w:next w:val="Normal"/>
    <w:link w:val="Balk2Char"/>
    <w:uiPriority w:val="9"/>
    <w:unhideWhenUsed/>
    <w:qFormat/>
    <w:rsid w:val="000F08B4"/>
    <w:pPr>
      <w:keepNext/>
      <w:keepLines/>
      <w:spacing w:before="200" w:after="0"/>
      <w:outlineLvl w:val="1"/>
    </w:pPr>
    <w:rPr>
      <w:rFonts w:ascii="Cambria" w:eastAsia="Times New Roman" w:hAnsi="Cambria" w:cs="Times New Roman"/>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2A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2A4D"/>
  </w:style>
  <w:style w:type="paragraph" w:styleId="Altbilgi">
    <w:name w:val="footer"/>
    <w:basedOn w:val="Normal"/>
    <w:link w:val="AltbilgiChar"/>
    <w:uiPriority w:val="99"/>
    <w:unhideWhenUsed/>
    <w:rsid w:val="008D2A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2A4D"/>
  </w:style>
  <w:style w:type="character" w:customStyle="1" w:styleId="Balk1Char">
    <w:name w:val="Başlık 1 Char"/>
    <w:basedOn w:val="VarsaylanParagrafYazTipi"/>
    <w:link w:val="Balk1"/>
    <w:uiPriority w:val="9"/>
    <w:rsid w:val="00A177DC"/>
    <w:rPr>
      <w:rFonts w:ascii="Cambria" w:eastAsia="Times New Roman" w:hAnsi="Cambria" w:cs="Times New Roman"/>
      <w:b/>
      <w:bCs/>
      <w:color w:val="365F91"/>
      <w:sz w:val="28"/>
      <w:szCs w:val="28"/>
    </w:rPr>
  </w:style>
  <w:style w:type="character" w:customStyle="1" w:styleId="Balk2Char">
    <w:name w:val="Başlık 2 Char"/>
    <w:basedOn w:val="VarsaylanParagrafYazTipi"/>
    <w:link w:val="Balk2"/>
    <w:uiPriority w:val="9"/>
    <w:rsid w:val="000F08B4"/>
    <w:rPr>
      <w:rFonts w:ascii="Cambria" w:eastAsia="Times New Roman" w:hAnsi="Cambria" w:cs="Times New Roman"/>
      <w:b/>
      <w:bCs/>
      <w:color w:val="4F81BD"/>
      <w:sz w:val="26"/>
      <w:szCs w:val="26"/>
    </w:rPr>
  </w:style>
  <w:style w:type="paragraph" w:styleId="ListeParagraf">
    <w:name w:val="List Paragraph"/>
    <w:basedOn w:val="Normal"/>
    <w:uiPriority w:val="34"/>
    <w:qFormat/>
    <w:rsid w:val="008959B5"/>
    <w:pPr>
      <w:ind w:left="720"/>
      <w:contextualSpacing/>
    </w:pPr>
  </w:style>
  <w:style w:type="table" w:styleId="TabloKlavuzu">
    <w:name w:val="Table Grid"/>
    <w:basedOn w:val="NormalTablo"/>
    <w:uiPriority w:val="59"/>
    <w:rsid w:val="00E70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Klavuz3-Vurgu1">
    <w:name w:val="Medium Grid 3 Accent 1"/>
    <w:basedOn w:val="NormalTablo"/>
    <w:uiPriority w:val="69"/>
    <w:rsid w:val="00E7090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BalonMetni">
    <w:name w:val="Balloon Text"/>
    <w:basedOn w:val="Normal"/>
    <w:link w:val="BalonMetniChar"/>
    <w:uiPriority w:val="99"/>
    <w:semiHidden/>
    <w:unhideWhenUsed/>
    <w:rsid w:val="00DA24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24AB"/>
    <w:rPr>
      <w:rFonts w:ascii="Tahoma" w:hAnsi="Tahoma" w:cs="Tahoma"/>
      <w:sz w:val="16"/>
      <w:szCs w:val="16"/>
    </w:rPr>
  </w:style>
  <w:style w:type="character" w:styleId="DipnotBavurusu">
    <w:name w:val="footnote reference"/>
    <w:basedOn w:val="VarsaylanParagrafYazTipi"/>
    <w:uiPriority w:val="99"/>
    <w:semiHidden/>
    <w:unhideWhenUsed/>
    <w:rsid w:val="003247AE"/>
    <w:rPr>
      <w:vertAlign w:val="superscript"/>
    </w:rPr>
  </w:style>
  <w:style w:type="table" w:customStyle="1" w:styleId="AkKlavuz-Vurgu11">
    <w:name w:val="Açık Kılavuz - Vurgu 11"/>
    <w:basedOn w:val="NormalTablo"/>
    <w:uiPriority w:val="62"/>
    <w:rsid w:val="00F9402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5">
    <w:name w:val="Light Grid Accent 5"/>
    <w:basedOn w:val="NormalTablo"/>
    <w:uiPriority w:val="62"/>
    <w:rsid w:val="00F9402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OrtaGlgeleme2-Vurgu11">
    <w:name w:val="Orta Gölgeleme 2 - Vurgu 11"/>
    <w:basedOn w:val="NormalTablo"/>
    <w:uiPriority w:val="64"/>
    <w:rsid w:val="00F940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1">
    <w:name w:val="Orta Gölgeleme 21"/>
    <w:basedOn w:val="NormalTablo"/>
    <w:uiPriority w:val="64"/>
    <w:rsid w:val="00F940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F940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F940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2-Vurgu1">
    <w:name w:val="Medium List 2 Accent 1"/>
    <w:basedOn w:val="NormalTablo"/>
    <w:uiPriority w:val="66"/>
    <w:rsid w:val="00F940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F940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648">
      <w:bodyDiv w:val="1"/>
      <w:marLeft w:val="0"/>
      <w:marRight w:val="0"/>
      <w:marTop w:val="0"/>
      <w:marBottom w:val="0"/>
      <w:divBdr>
        <w:top w:val="none" w:sz="0" w:space="0" w:color="auto"/>
        <w:left w:val="none" w:sz="0" w:space="0" w:color="auto"/>
        <w:bottom w:val="none" w:sz="0" w:space="0" w:color="auto"/>
        <w:right w:val="none" w:sz="0" w:space="0" w:color="auto"/>
      </w:divBdr>
    </w:div>
    <w:div w:id="24257832">
      <w:bodyDiv w:val="1"/>
      <w:marLeft w:val="0"/>
      <w:marRight w:val="0"/>
      <w:marTop w:val="0"/>
      <w:marBottom w:val="0"/>
      <w:divBdr>
        <w:top w:val="none" w:sz="0" w:space="0" w:color="auto"/>
        <w:left w:val="none" w:sz="0" w:space="0" w:color="auto"/>
        <w:bottom w:val="none" w:sz="0" w:space="0" w:color="auto"/>
        <w:right w:val="none" w:sz="0" w:space="0" w:color="auto"/>
      </w:divBdr>
    </w:div>
    <w:div w:id="49691095">
      <w:bodyDiv w:val="1"/>
      <w:marLeft w:val="0"/>
      <w:marRight w:val="0"/>
      <w:marTop w:val="0"/>
      <w:marBottom w:val="0"/>
      <w:divBdr>
        <w:top w:val="none" w:sz="0" w:space="0" w:color="auto"/>
        <w:left w:val="none" w:sz="0" w:space="0" w:color="auto"/>
        <w:bottom w:val="none" w:sz="0" w:space="0" w:color="auto"/>
        <w:right w:val="none" w:sz="0" w:space="0" w:color="auto"/>
      </w:divBdr>
    </w:div>
    <w:div w:id="68423706">
      <w:bodyDiv w:val="1"/>
      <w:marLeft w:val="0"/>
      <w:marRight w:val="0"/>
      <w:marTop w:val="0"/>
      <w:marBottom w:val="0"/>
      <w:divBdr>
        <w:top w:val="none" w:sz="0" w:space="0" w:color="auto"/>
        <w:left w:val="none" w:sz="0" w:space="0" w:color="auto"/>
        <w:bottom w:val="none" w:sz="0" w:space="0" w:color="auto"/>
        <w:right w:val="none" w:sz="0" w:space="0" w:color="auto"/>
      </w:divBdr>
    </w:div>
    <w:div w:id="72438344">
      <w:bodyDiv w:val="1"/>
      <w:marLeft w:val="0"/>
      <w:marRight w:val="0"/>
      <w:marTop w:val="0"/>
      <w:marBottom w:val="0"/>
      <w:divBdr>
        <w:top w:val="none" w:sz="0" w:space="0" w:color="auto"/>
        <w:left w:val="none" w:sz="0" w:space="0" w:color="auto"/>
        <w:bottom w:val="none" w:sz="0" w:space="0" w:color="auto"/>
        <w:right w:val="none" w:sz="0" w:space="0" w:color="auto"/>
      </w:divBdr>
    </w:div>
    <w:div w:id="101535336">
      <w:bodyDiv w:val="1"/>
      <w:marLeft w:val="0"/>
      <w:marRight w:val="0"/>
      <w:marTop w:val="0"/>
      <w:marBottom w:val="0"/>
      <w:divBdr>
        <w:top w:val="none" w:sz="0" w:space="0" w:color="auto"/>
        <w:left w:val="none" w:sz="0" w:space="0" w:color="auto"/>
        <w:bottom w:val="none" w:sz="0" w:space="0" w:color="auto"/>
        <w:right w:val="none" w:sz="0" w:space="0" w:color="auto"/>
      </w:divBdr>
    </w:div>
    <w:div w:id="130556784">
      <w:bodyDiv w:val="1"/>
      <w:marLeft w:val="0"/>
      <w:marRight w:val="0"/>
      <w:marTop w:val="0"/>
      <w:marBottom w:val="0"/>
      <w:divBdr>
        <w:top w:val="none" w:sz="0" w:space="0" w:color="auto"/>
        <w:left w:val="none" w:sz="0" w:space="0" w:color="auto"/>
        <w:bottom w:val="none" w:sz="0" w:space="0" w:color="auto"/>
        <w:right w:val="none" w:sz="0" w:space="0" w:color="auto"/>
      </w:divBdr>
    </w:div>
    <w:div w:id="138378881">
      <w:bodyDiv w:val="1"/>
      <w:marLeft w:val="0"/>
      <w:marRight w:val="0"/>
      <w:marTop w:val="0"/>
      <w:marBottom w:val="0"/>
      <w:divBdr>
        <w:top w:val="none" w:sz="0" w:space="0" w:color="auto"/>
        <w:left w:val="none" w:sz="0" w:space="0" w:color="auto"/>
        <w:bottom w:val="none" w:sz="0" w:space="0" w:color="auto"/>
        <w:right w:val="none" w:sz="0" w:space="0" w:color="auto"/>
      </w:divBdr>
    </w:div>
    <w:div w:id="154152577">
      <w:bodyDiv w:val="1"/>
      <w:marLeft w:val="0"/>
      <w:marRight w:val="0"/>
      <w:marTop w:val="0"/>
      <w:marBottom w:val="0"/>
      <w:divBdr>
        <w:top w:val="none" w:sz="0" w:space="0" w:color="auto"/>
        <w:left w:val="none" w:sz="0" w:space="0" w:color="auto"/>
        <w:bottom w:val="none" w:sz="0" w:space="0" w:color="auto"/>
        <w:right w:val="none" w:sz="0" w:space="0" w:color="auto"/>
      </w:divBdr>
    </w:div>
    <w:div w:id="185598830">
      <w:bodyDiv w:val="1"/>
      <w:marLeft w:val="0"/>
      <w:marRight w:val="0"/>
      <w:marTop w:val="0"/>
      <w:marBottom w:val="0"/>
      <w:divBdr>
        <w:top w:val="none" w:sz="0" w:space="0" w:color="auto"/>
        <w:left w:val="none" w:sz="0" w:space="0" w:color="auto"/>
        <w:bottom w:val="none" w:sz="0" w:space="0" w:color="auto"/>
        <w:right w:val="none" w:sz="0" w:space="0" w:color="auto"/>
      </w:divBdr>
    </w:div>
    <w:div w:id="192692082">
      <w:bodyDiv w:val="1"/>
      <w:marLeft w:val="0"/>
      <w:marRight w:val="0"/>
      <w:marTop w:val="0"/>
      <w:marBottom w:val="0"/>
      <w:divBdr>
        <w:top w:val="none" w:sz="0" w:space="0" w:color="auto"/>
        <w:left w:val="none" w:sz="0" w:space="0" w:color="auto"/>
        <w:bottom w:val="none" w:sz="0" w:space="0" w:color="auto"/>
        <w:right w:val="none" w:sz="0" w:space="0" w:color="auto"/>
      </w:divBdr>
    </w:div>
    <w:div w:id="193277037">
      <w:bodyDiv w:val="1"/>
      <w:marLeft w:val="0"/>
      <w:marRight w:val="0"/>
      <w:marTop w:val="0"/>
      <w:marBottom w:val="0"/>
      <w:divBdr>
        <w:top w:val="none" w:sz="0" w:space="0" w:color="auto"/>
        <w:left w:val="none" w:sz="0" w:space="0" w:color="auto"/>
        <w:bottom w:val="none" w:sz="0" w:space="0" w:color="auto"/>
        <w:right w:val="none" w:sz="0" w:space="0" w:color="auto"/>
      </w:divBdr>
    </w:div>
    <w:div w:id="220791856">
      <w:bodyDiv w:val="1"/>
      <w:marLeft w:val="0"/>
      <w:marRight w:val="0"/>
      <w:marTop w:val="0"/>
      <w:marBottom w:val="0"/>
      <w:divBdr>
        <w:top w:val="none" w:sz="0" w:space="0" w:color="auto"/>
        <w:left w:val="none" w:sz="0" w:space="0" w:color="auto"/>
        <w:bottom w:val="none" w:sz="0" w:space="0" w:color="auto"/>
        <w:right w:val="none" w:sz="0" w:space="0" w:color="auto"/>
      </w:divBdr>
    </w:div>
    <w:div w:id="221522393">
      <w:bodyDiv w:val="1"/>
      <w:marLeft w:val="0"/>
      <w:marRight w:val="0"/>
      <w:marTop w:val="0"/>
      <w:marBottom w:val="0"/>
      <w:divBdr>
        <w:top w:val="none" w:sz="0" w:space="0" w:color="auto"/>
        <w:left w:val="none" w:sz="0" w:space="0" w:color="auto"/>
        <w:bottom w:val="none" w:sz="0" w:space="0" w:color="auto"/>
        <w:right w:val="none" w:sz="0" w:space="0" w:color="auto"/>
      </w:divBdr>
    </w:div>
    <w:div w:id="224293434">
      <w:bodyDiv w:val="1"/>
      <w:marLeft w:val="0"/>
      <w:marRight w:val="0"/>
      <w:marTop w:val="0"/>
      <w:marBottom w:val="0"/>
      <w:divBdr>
        <w:top w:val="none" w:sz="0" w:space="0" w:color="auto"/>
        <w:left w:val="none" w:sz="0" w:space="0" w:color="auto"/>
        <w:bottom w:val="none" w:sz="0" w:space="0" w:color="auto"/>
        <w:right w:val="none" w:sz="0" w:space="0" w:color="auto"/>
      </w:divBdr>
    </w:div>
    <w:div w:id="239675098">
      <w:bodyDiv w:val="1"/>
      <w:marLeft w:val="0"/>
      <w:marRight w:val="0"/>
      <w:marTop w:val="0"/>
      <w:marBottom w:val="0"/>
      <w:divBdr>
        <w:top w:val="none" w:sz="0" w:space="0" w:color="auto"/>
        <w:left w:val="none" w:sz="0" w:space="0" w:color="auto"/>
        <w:bottom w:val="none" w:sz="0" w:space="0" w:color="auto"/>
        <w:right w:val="none" w:sz="0" w:space="0" w:color="auto"/>
      </w:divBdr>
    </w:div>
    <w:div w:id="249511635">
      <w:bodyDiv w:val="1"/>
      <w:marLeft w:val="0"/>
      <w:marRight w:val="0"/>
      <w:marTop w:val="0"/>
      <w:marBottom w:val="0"/>
      <w:divBdr>
        <w:top w:val="none" w:sz="0" w:space="0" w:color="auto"/>
        <w:left w:val="none" w:sz="0" w:space="0" w:color="auto"/>
        <w:bottom w:val="none" w:sz="0" w:space="0" w:color="auto"/>
        <w:right w:val="none" w:sz="0" w:space="0" w:color="auto"/>
      </w:divBdr>
    </w:div>
    <w:div w:id="271938255">
      <w:bodyDiv w:val="1"/>
      <w:marLeft w:val="0"/>
      <w:marRight w:val="0"/>
      <w:marTop w:val="0"/>
      <w:marBottom w:val="0"/>
      <w:divBdr>
        <w:top w:val="none" w:sz="0" w:space="0" w:color="auto"/>
        <w:left w:val="none" w:sz="0" w:space="0" w:color="auto"/>
        <w:bottom w:val="none" w:sz="0" w:space="0" w:color="auto"/>
        <w:right w:val="none" w:sz="0" w:space="0" w:color="auto"/>
      </w:divBdr>
    </w:div>
    <w:div w:id="273248339">
      <w:bodyDiv w:val="1"/>
      <w:marLeft w:val="0"/>
      <w:marRight w:val="0"/>
      <w:marTop w:val="0"/>
      <w:marBottom w:val="0"/>
      <w:divBdr>
        <w:top w:val="none" w:sz="0" w:space="0" w:color="auto"/>
        <w:left w:val="none" w:sz="0" w:space="0" w:color="auto"/>
        <w:bottom w:val="none" w:sz="0" w:space="0" w:color="auto"/>
        <w:right w:val="none" w:sz="0" w:space="0" w:color="auto"/>
      </w:divBdr>
    </w:div>
    <w:div w:id="295261130">
      <w:bodyDiv w:val="1"/>
      <w:marLeft w:val="0"/>
      <w:marRight w:val="0"/>
      <w:marTop w:val="0"/>
      <w:marBottom w:val="0"/>
      <w:divBdr>
        <w:top w:val="none" w:sz="0" w:space="0" w:color="auto"/>
        <w:left w:val="none" w:sz="0" w:space="0" w:color="auto"/>
        <w:bottom w:val="none" w:sz="0" w:space="0" w:color="auto"/>
        <w:right w:val="none" w:sz="0" w:space="0" w:color="auto"/>
      </w:divBdr>
    </w:div>
    <w:div w:id="311641803">
      <w:bodyDiv w:val="1"/>
      <w:marLeft w:val="0"/>
      <w:marRight w:val="0"/>
      <w:marTop w:val="0"/>
      <w:marBottom w:val="0"/>
      <w:divBdr>
        <w:top w:val="none" w:sz="0" w:space="0" w:color="auto"/>
        <w:left w:val="none" w:sz="0" w:space="0" w:color="auto"/>
        <w:bottom w:val="none" w:sz="0" w:space="0" w:color="auto"/>
        <w:right w:val="none" w:sz="0" w:space="0" w:color="auto"/>
      </w:divBdr>
    </w:div>
    <w:div w:id="324937428">
      <w:bodyDiv w:val="1"/>
      <w:marLeft w:val="0"/>
      <w:marRight w:val="0"/>
      <w:marTop w:val="0"/>
      <w:marBottom w:val="0"/>
      <w:divBdr>
        <w:top w:val="none" w:sz="0" w:space="0" w:color="auto"/>
        <w:left w:val="none" w:sz="0" w:space="0" w:color="auto"/>
        <w:bottom w:val="none" w:sz="0" w:space="0" w:color="auto"/>
        <w:right w:val="none" w:sz="0" w:space="0" w:color="auto"/>
      </w:divBdr>
    </w:div>
    <w:div w:id="330106039">
      <w:bodyDiv w:val="1"/>
      <w:marLeft w:val="0"/>
      <w:marRight w:val="0"/>
      <w:marTop w:val="0"/>
      <w:marBottom w:val="0"/>
      <w:divBdr>
        <w:top w:val="none" w:sz="0" w:space="0" w:color="auto"/>
        <w:left w:val="none" w:sz="0" w:space="0" w:color="auto"/>
        <w:bottom w:val="none" w:sz="0" w:space="0" w:color="auto"/>
        <w:right w:val="none" w:sz="0" w:space="0" w:color="auto"/>
      </w:divBdr>
    </w:div>
    <w:div w:id="333185620">
      <w:bodyDiv w:val="1"/>
      <w:marLeft w:val="0"/>
      <w:marRight w:val="0"/>
      <w:marTop w:val="0"/>
      <w:marBottom w:val="0"/>
      <w:divBdr>
        <w:top w:val="none" w:sz="0" w:space="0" w:color="auto"/>
        <w:left w:val="none" w:sz="0" w:space="0" w:color="auto"/>
        <w:bottom w:val="none" w:sz="0" w:space="0" w:color="auto"/>
        <w:right w:val="none" w:sz="0" w:space="0" w:color="auto"/>
      </w:divBdr>
    </w:div>
    <w:div w:id="339087318">
      <w:bodyDiv w:val="1"/>
      <w:marLeft w:val="0"/>
      <w:marRight w:val="0"/>
      <w:marTop w:val="0"/>
      <w:marBottom w:val="0"/>
      <w:divBdr>
        <w:top w:val="none" w:sz="0" w:space="0" w:color="auto"/>
        <w:left w:val="none" w:sz="0" w:space="0" w:color="auto"/>
        <w:bottom w:val="none" w:sz="0" w:space="0" w:color="auto"/>
        <w:right w:val="none" w:sz="0" w:space="0" w:color="auto"/>
      </w:divBdr>
    </w:div>
    <w:div w:id="359160513">
      <w:bodyDiv w:val="1"/>
      <w:marLeft w:val="0"/>
      <w:marRight w:val="0"/>
      <w:marTop w:val="0"/>
      <w:marBottom w:val="0"/>
      <w:divBdr>
        <w:top w:val="none" w:sz="0" w:space="0" w:color="auto"/>
        <w:left w:val="none" w:sz="0" w:space="0" w:color="auto"/>
        <w:bottom w:val="none" w:sz="0" w:space="0" w:color="auto"/>
        <w:right w:val="none" w:sz="0" w:space="0" w:color="auto"/>
      </w:divBdr>
    </w:div>
    <w:div w:id="362632773">
      <w:bodyDiv w:val="1"/>
      <w:marLeft w:val="0"/>
      <w:marRight w:val="0"/>
      <w:marTop w:val="0"/>
      <w:marBottom w:val="0"/>
      <w:divBdr>
        <w:top w:val="none" w:sz="0" w:space="0" w:color="auto"/>
        <w:left w:val="none" w:sz="0" w:space="0" w:color="auto"/>
        <w:bottom w:val="none" w:sz="0" w:space="0" w:color="auto"/>
        <w:right w:val="none" w:sz="0" w:space="0" w:color="auto"/>
      </w:divBdr>
    </w:div>
    <w:div w:id="365568306">
      <w:bodyDiv w:val="1"/>
      <w:marLeft w:val="0"/>
      <w:marRight w:val="0"/>
      <w:marTop w:val="0"/>
      <w:marBottom w:val="0"/>
      <w:divBdr>
        <w:top w:val="none" w:sz="0" w:space="0" w:color="auto"/>
        <w:left w:val="none" w:sz="0" w:space="0" w:color="auto"/>
        <w:bottom w:val="none" w:sz="0" w:space="0" w:color="auto"/>
        <w:right w:val="none" w:sz="0" w:space="0" w:color="auto"/>
      </w:divBdr>
    </w:div>
    <w:div w:id="387999296">
      <w:bodyDiv w:val="1"/>
      <w:marLeft w:val="0"/>
      <w:marRight w:val="0"/>
      <w:marTop w:val="0"/>
      <w:marBottom w:val="0"/>
      <w:divBdr>
        <w:top w:val="none" w:sz="0" w:space="0" w:color="auto"/>
        <w:left w:val="none" w:sz="0" w:space="0" w:color="auto"/>
        <w:bottom w:val="none" w:sz="0" w:space="0" w:color="auto"/>
        <w:right w:val="none" w:sz="0" w:space="0" w:color="auto"/>
      </w:divBdr>
    </w:div>
    <w:div w:id="399015042">
      <w:bodyDiv w:val="1"/>
      <w:marLeft w:val="0"/>
      <w:marRight w:val="0"/>
      <w:marTop w:val="0"/>
      <w:marBottom w:val="0"/>
      <w:divBdr>
        <w:top w:val="none" w:sz="0" w:space="0" w:color="auto"/>
        <w:left w:val="none" w:sz="0" w:space="0" w:color="auto"/>
        <w:bottom w:val="none" w:sz="0" w:space="0" w:color="auto"/>
        <w:right w:val="none" w:sz="0" w:space="0" w:color="auto"/>
      </w:divBdr>
    </w:div>
    <w:div w:id="405617488">
      <w:bodyDiv w:val="1"/>
      <w:marLeft w:val="0"/>
      <w:marRight w:val="0"/>
      <w:marTop w:val="0"/>
      <w:marBottom w:val="0"/>
      <w:divBdr>
        <w:top w:val="none" w:sz="0" w:space="0" w:color="auto"/>
        <w:left w:val="none" w:sz="0" w:space="0" w:color="auto"/>
        <w:bottom w:val="none" w:sz="0" w:space="0" w:color="auto"/>
        <w:right w:val="none" w:sz="0" w:space="0" w:color="auto"/>
      </w:divBdr>
    </w:div>
    <w:div w:id="406532556">
      <w:bodyDiv w:val="1"/>
      <w:marLeft w:val="0"/>
      <w:marRight w:val="0"/>
      <w:marTop w:val="0"/>
      <w:marBottom w:val="0"/>
      <w:divBdr>
        <w:top w:val="none" w:sz="0" w:space="0" w:color="auto"/>
        <w:left w:val="none" w:sz="0" w:space="0" w:color="auto"/>
        <w:bottom w:val="none" w:sz="0" w:space="0" w:color="auto"/>
        <w:right w:val="none" w:sz="0" w:space="0" w:color="auto"/>
      </w:divBdr>
    </w:div>
    <w:div w:id="416708292">
      <w:bodyDiv w:val="1"/>
      <w:marLeft w:val="0"/>
      <w:marRight w:val="0"/>
      <w:marTop w:val="0"/>
      <w:marBottom w:val="0"/>
      <w:divBdr>
        <w:top w:val="none" w:sz="0" w:space="0" w:color="auto"/>
        <w:left w:val="none" w:sz="0" w:space="0" w:color="auto"/>
        <w:bottom w:val="none" w:sz="0" w:space="0" w:color="auto"/>
        <w:right w:val="none" w:sz="0" w:space="0" w:color="auto"/>
      </w:divBdr>
    </w:div>
    <w:div w:id="427115927">
      <w:bodyDiv w:val="1"/>
      <w:marLeft w:val="0"/>
      <w:marRight w:val="0"/>
      <w:marTop w:val="0"/>
      <w:marBottom w:val="0"/>
      <w:divBdr>
        <w:top w:val="none" w:sz="0" w:space="0" w:color="auto"/>
        <w:left w:val="none" w:sz="0" w:space="0" w:color="auto"/>
        <w:bottom w:val="none" w:sz="0" w:space="0" w:color="auto"/>
        <w:right w:val="none" w:sz="0" w:space="0" w:color="auto"/>
      </w:divBdr>
    </w:div>
    <w:div w:id="449205769">
      <w:bodyDiv w:val="1"/>
      <w:marLeft w:val="0"/>
      <w:marRight w:val="0"/>
      <w:marTop w:val="0"/>
      <w:marBottom w:val="0"/>
      <w:divBdr>
        <w:top w:val="none" w:sz="0" w:space="0" w:color="auto"/>
        <w:left w:val="none" w:sz="0" w:space="0" w:color="auto"/>
        <w:bottom w:val="none" w:sz="0" w:space="0" w:color="auto"/>
        <w:right w:val="none" w:sz="0" w:space="0" w:color="auto"/>
      </w:divBdr>
    </w:div>
    <w:div w:id="485324763">
      <w:bodyDiv w:val="1"/>
      <w:marLeft w:val="0"/>
      <w:marRight w:val="0"/>
      <w:marTop w:val="0"/>
      <w:marBottom w:val="0"/>
      <w:divBdr>
        <w:top w:val="none" w:sz="0" w:space="0" w:color="auto"/>
        <w:left w:val="none" w:sz="0" w:space="0" w:color="auto"/>
        <w:bottom w:val="none" w:sz="0" w:space="0" w:color="auto"/>
        <w:right w:val="none" w:sz="0" w:space="0" w:color="auto"/>
      </w:divBdr>
    </w:div>
    <w:div w:id="493763017">
      <w:bodyDiv w:val="1"/>
      <w:marLeft w:val="0"/>
      <w:marRight w:val="0"/>
      <w:marTop w:val="0"/>
      <w:marBottom w:val="0"/>
      <w:divBdr>
        <w:top w:val="none" w:sz="0" w:space="0" w:color="auto"/>
        <w:left w:val="none" w:sz="0" w:space="0" w:color="auto"/>
        <w:bottom w:val="none" w:sz="0" w:space="0" w:color="auto"/>
        <w:right w:val="none" w:sz="0" w:space="0" w:color="auto"/>
      </w:divBdr>
    </w:div>
    <w:div w:id="495652642">
      <w:bodyDiv w:val="1"/>
      <w:marLeft w:val="0"/>
      <w:marRight w:val="0"/>
      <w:marTop w:val="0"/>
      <w:marBottom w:val="0"/>
      <w:divBdr>
        <w:top w:val="none" w:sz="0" w:space="0" w:color="auto"/>
        <w:left w:val="none" w:sz="0" w:space="0" w:color="auto"/>
        <w:bottom w:val="none" w:sz="0" w:space="0" w:color="auto"/>
        <w:right w:val="none" w:sz="0" w:space="0" w:color="auto"/>
      </w:divBdr>
    </w:div>
    <w:div w:id="521672835">
      <w:bodyDiv w:val="1"/>
      <w:marLeft w:val="0"/>
      <w:marRight w:val="0"/>
      <w:marTop w:val="0"/>
      <w:marBottom w:val="0"/>
      <w:divBdr>
        <w:top w:val="none" w:sz="0" w:space="0" w:color="auto"/>
        <w:left w:val="none" w:sz="0" w:space="0" w:color="auto"/>
        <w:bottom w:val="none" w:sz="0" w:space="0" w:color="auto"/>
        <w:right w:val="none" w:sz="0" w:space="0" w:color="auto"/>
      </w:divBdr>
    </w:div>
    <w:div w:id="522859998">
      <w:bodyDiv w:val="1"/>
      <w:marLeft w:val="0"/>
      <w:marRight w:val="0"/>
      <w:marTop w:val="0"/>
      <w:marBottom w:val="0"/>
      <w:divBdr>
        <w:top w:val="none" w:sz="0" w:space="0" w:color="auto"/>
        <w:left w:val="none" w:sz="0" w:space="0" w:color="auto"/>
        <w:bottom w:val="none" w:sz="0" w:space="0" w:color="auto"/>
        <w:right w:val="none" w:sz="0" w:space="0" w:color="auto"/>
      </w:divBdr>
    </w:div>
    <w:div w:id="526722978">
      <w:bodyDiv w:val="1"/>
      <w:marLeft w:val="0"/>
      <w:marRight w:val="0"/>
      <w:marTop w:val="0"/>
      <w:marBottom w:val="0"/>
      <w:divBdr>
        <w:top w:val="none" w:sz="0" w:space="0" w:color="auto"/>
        <w:left w:val="none" w:sz="0" w:space="0" w:color="auto"/>
        <w:bottom w:val="none" w:sz="0" w:space="0" w:color="auto"/>
        <w:right w:val="none" w:sz="0" w:space="0" w:color="auto"/>
      </w:divBdr>
    </w:div>
    <w:div w:id="529687016">
      <w:bodyDiv w:val="1"/>
      <w:marLeft w:val="0"/>
      <w:marRight w:val="0"/>
      <w:marTop w:val="0"/>
      <w:marBottom w:val="0"/>
      <w:divBdr>
        <w:top w:val="none" w:sz="0" w:space="0" w:color="auto"/>
        <w:left w:val="none" w:sz="0" w:space="0" w:color="auto"/>
        <w:bottom w:val="none" w:sz="0" w:space="0" w:color="auto"/>
        <w:right w:val="none" w:sz="0" w:space="0" w:color="auto"/>
      </w:divBdr>
    </w:div>
    <w:div w:id="597982415">
      <w:bodyDiv w:val="1"/>
      <w:marLeft w:val="0"/>
      <w:marRight w:val="0"/>
      <w:marTop w:val="0"/>
      <w:marBottom w:val="0"/>
      <w:divBdr>
        <w:top w:val="none" w:sz="0" w:space="0" w:color="auto"/>
        <w:left w:val="none" w:sz="0" w:space="0" w:color="auto"/>
        <w:bottom w:val="none" w:sz="0" w:space="0" w:color="auto"/>
        <w:right w:val="none" w:sz="0" w:space="0" w:color="auto"/>
      </w:divBdr>
    </w:div>
    <w:div w:id="615529642">
      <w:bodyDiv w:val="1"/>
      <w:marLeft w:val="0"/>
      <w:marRight w:val="0"/>
      <w:marTop w:val="0"/>
      <w:marBottom w:val="0"/>
      <w:divBdr>
        <w:top w:val="none" w:sz="0" w:space="0" w:color="auto"/>
        <w:left w:val="none" w:sz="0" w:space="0" w:color="auto"/>
        <w:bottom w:val="none" w:sz="0" w:space="0" w:color="auto"/>
        <w:right w:val="none" w:sz="0" w:space="0" w:color="auto"/>
      </w:divBdr>
    </w:div>
    <w:div w:id="626591434">
      <w:bodyDiv w:val="1"/>
      <w:marLeft w:val="0"/>
      <w:marRight w:val="0"/>
      <w:marTop w:val="0"/>
      <w:marBottom w:val="0"/>
      <w:divBdr>
        <w:top w:val="none" w:sz="0" w:space="0" w:color="auto"/>
        <w:left w:val="none" w:sz="0" w:space="0" w:color="auto"/>
        <w:bottom w:val="none" w:sz="0" w:space="0" w:color="auto"/>
        <w:right w:val="none" w:sz="0" w:space="0" w:color="auto"/>
      </w:divBdr>
    </w:div>
    <w:div w:id="634680533">
      <w:bodyDiv w:val="1"/>
      <w:marLeft w:val="0"/>
      <w:marRight w:val="0"/>
      <w:marTop w:val="0"/>
      <w:marBottom w:val="0"/>
      <w:divBdr>
        <w:top w:val="none" w:sz="0" w:space="0" w:color="auto"/>
        <w:left w:val="none" w:sz="0" w:space="0" w:color="auto"/>
        <w:bottom w:val="none" w:sz="0" w:space="0" w:color="auto"/>
        <w:right w:val="none" w:sz="0" w:space="0" w:color="auto"/>
      </w:divBdr>
    </w:div>
    <w:div w:id="636492202">
      <w:bodyDiv w:val="1"/>
      <w:marLeft w:val="0"/>
      <w:marRight w:val="0"/>
      <w:marTop w:val="0"/>
      <w:marBottom w:val="0"/>
      <w:divBdr>
        <w:top w:val="none" w:sz="0" w:space="0" w:color="auto"/>
        <w:left w:val="none" w:sz="0" w:space="0" w:color="auto"/>
        <w:bottom w:val="none" w:sz="0" w:space="0" w:color="auto"/>
        <w:right w:val="none" w:sz="0" w:space="0" w:color="auto"/>
      </w:divBdr>
    </w:div>
    <w:div w:id="638002874">
      <w:bodyDiv w:val="1"/>
      <w:marLeft w:val="0"/>
      <w:marRight w:val="0"/>
      <w:marTop w:val="0"/>
      <w:marBottom w:val="0"/>
      <w:divBdr>
        <w:top w:val="none" w:sz="0" w:space="0" w:color="auto"/>
        <w:left w:val="none" w:sz="0" w:space="0" w:color="auto"/>
        <w:bottom w:val="none" w:sz="0" w:space="0" w:color="auto"/>
        <w:right w:val="none" w:sz="0" w:space="0" w:color="auto"/>
      </w:divBdr>
    </w:div>
    <w:div w:id="642077770">
      <w:bodyDiv w:val="1"/>
      <w:marLeft w:val="0"/>
      <w:marRight w:val="0"/>
      <w:marTop w:val="0"/>
      <w:marBottom w:val="0"/>
      <w:divBdr>
        <w:top w:val="none" w:sz="0" w:space="0" w:color="auto"/>
        <w:left w:val="none" w:sz="0" w:space="0" w:color="auto"/>
        <w:bottom w:val="none" w:sz="0" w:space="0" w:color="auto"/>
        <w:right w:val="none" w:sz="0" w:space="0" w:color="auto"/>
      </w:divBdr>
    </w:div>
    <w:div w:id="643119148">
      <w:bodyDiv w:val="1"/>
      <w:marLeft w:val="0"/>
      <w:marRight w:val="0"/>
      <w:marTop w:val="0"/>
      <w:marBottom w:val="0"/>
      <w:divBdr>
        <w:top w:val="none" w:sz="0" w:space="0" w:color="auto"/>
        <w:left w:val="none" w:sz="0" w:space="0" w:color="auto"/>
        <w:bottom w:val="none" w:sz="0" w:space="0" w:color="auto"/>
        <w:right w:val="none" w:sz="0" w:space="0" w:color="auto"/>
      </w:divBdr>
    </w:div>
    <w:div w:id="648175337">
      <w:bodyDiv w:val="1"/>
      <w:marLeft w:val="0"/>
      <w:marRight w:val="0"/>
      <w:marTop w:val="0"/>
      <w:marBottom w:val="0"/>
      <w:divBdr>
        <w:top w:val="none" w:sz="0" w:space="0" w:color="auto"/>
        <w:left w:val="none" w:sz="0" w:space="0" w:color="auto"/>
        <w:bottom w:val="none" w:sz="0" w:space="0" w:color="auto"/>
        <w:right w:val="none" w:sz="0" w:space="0" w:color="auto"/>
      </w:divBdr>
    </w:div>
    <w:div w:id="673529531">
      <w:bodyDiv w:val="1"/>
      <w:marLeft w:val="0"/>
      <w:marRight w:val="0"/>
      <w:marTop w:val="0"/>
      <w:marBottom w:val="0"/>
      <w:divBdr>
        <w:top w:val="none" w:sz="0" w:space="0" w:color="auto"/>
        <w:left w:val="none" w:sz="0" w:space="0" w:color="auto"/>
        <w:bottom w:val="none" w:sz="0" w:space="0" w:color="auto"/>
        <w:right w:val="none" w:sz="0" w:space="0" w:color="auto"/>
      </w:divBdr>
    </w:div>
    <w:div w:id="703403240">
      <w:bodyDiv w:val="1"/>
      <w:marLeft w:val="0"/>
      <w:marRight w:val="0"/>
      <w:marTop w:val="0"/>
      <w:marBottom w:val="0"/>
      <w:divBdr>
        <w:top w:val="none" w:sz="0" w:space="0" w:color="auto"/>
        <w:left w:val="none" w:sz="0" w:space="0" w:color="auto"/>
        <w:bottom w:val="none" w:sz="0" w:space="0" w:color="auto"/>
        <w:right w:val="none" w:sz="0" w:space="0" w:color="auto"/>
      </w:divBdr>
    </w:div>
    <w:div w:id="706180692">
      <w:bodyDiv w:val="1"/>
      <w:marLeft w:val="0"/>
      <w:marRight w:val="0"/>
      <w:marTop w:val="0"/>
      <w:marBottom w:val="0"/>
      <w:divBdr>
        <w:top w:val="none" w:sz="0" w:space="0" w:color="auto"/>
        <w:left w:val="none" w:sz="0" w:space="0" w:color="auto"/>
        <w:bottom w:val="none" w:sz="0" w:space="0" w:color="auto"/>
        <w:right w:val="none" w:sz="0" w:space="0" w:color="auto"/>
      </w:divBdr>
    </w:div>
    <w:div w:id="710149167">
      <w:bodyDiv w:val="1"/>
      <w:marLeft w:val="0"/>
      <w:marRight w:val="0"/>
      <w:marTop w:val="0"/>
      <w:marBottom w:val="0"/>
      <w:divBdr>
        <w:top w:val="none" w:sz="0" w:space="0" w:color="auto"/>
        <w:left w:val="none" w:sz="0" w:space="0" w:color="auto"/>
        <w:bottom w:val="none" w:sz="0" w:space="0" w:color="auto"/>
        <w:right w:val="none" w:sz="0" w:space="0" w:color="auto"/>
      </w:divBdr>
    </w:div>
    <w:div w:id="726881932">
      <w:bodyDiv w:val="1"/>
      <w:marLeft w:val="0"/>
      <w:marRight w:val="0"/>
      <w:marTop w:val="0"/>
      <w:marBottom w:val="0"/>
      <w:divBdr>
        <w:top w:val="none" w:sz="0" w:space="0" w:color="auto"/>
        <w:left w:val="none" w:sz="0" w:space="0" w:color="auto"/>
        <w:bottom w:val="none" w:sz="0" w:space="0" w:color="auto"/>
        <w:right w:val="none" w:sz="0" w:space="0" w:color="auto"/>
      </w:divBdr>
    </w:div>
    <w:div w:id="741684318">
      <w:bodyDiv w:val="1"/>
      <w:marLeft w:val="0"/>
      <w:marRight w:val="0"/>
      <w:marTop w:val="0"/>
      <w:marBottom w:val="0"/>
      <w:divBdr>
        <w:top w:val="none" w:sz="0" w:space="0" w:color="auto"/>
        <w:left w:val="none" w:sz="0" w:space="0" w:color="auto"/>
        <w:bottom w:val="none" w:sz="0" w:space="0" w:color="auto"/>
        <w:right w:val="none" w:sz="0" w:space="0" w:color="auto"/>
      </w:divBdr>
    </w:div>
    <w:div w:id="743842447">
      <w:bodyDiv w:val="1"/>
      <w:marLeft w:val="0"/>
      <w:marRight w:val="0"/>
      <w:marTop w:val="0"/>
      <w:marBottom w:val="0"/>
      <w:divBdr>
        <w:top w:val="none" w:sz="0" w:space="0" w:color="auto"/>
        <w:left w:val="none" w:sz="0" w:space="0" w:color="auto"/>
        <w:bottom w:val="none" w:sz="0" w:space="0" w:color="auto"/>
        <w:right w:val="none" w:sz="0" w:space="0" w:color="auto"/>
      </w:divBdr>
    </w:div>
    <w:div w:id="749354967">
      <w:bodyDiv w:val="1"/>
      <w:marLeft w:val="0"/>
      <w:marRight w:val="0"/>
      <w:marTop w:val="0"/>
      <w:marBottom w:val="0"/>
      <w:divBdr>
        <w:top w:val="none" w:sz="0" w:space="0" w:color="auto"/>
        <w:left w:val="none" w:sz="0" w:space="0" w:color="auto"/>
        <w:bottom w:val="none" w:sz="0" w:space="0" w:color="auto"/>
        <w:right w:val="none" w:sz="0" w:space="0" w:color="auto"/>
      </w:divBdr>
    </w:div>
    <w:div w:id="768232591">
      <w:bodyDiv w:val="1"/>
      <w:marLeft w:val="0"/>
      <w:marRight w:val="0"/>
      <w:marTop w:val="0"/>
      <w:marBottom w:val="0"/>
      <w:divBdr>
        <w:top w:val="none" w:sz="0" w:space="0" w:color="auto"/>
        <w:left w:val="none" w:sz="0" w:space="0" w:color="auto"/>
        <w:bottom w:val="none" w:sz="0" w:space="0" w:color="auto"/>
        <w:right w:val="none" w:sz="0" w:space="0" w:color="auto"/>
      </w:divBdr>
    </w:div>
    <w:div w:id="782119571">
      <w:bodyDiv w:val="1"/>
      <w:marLeft w:val="0"/>
      <w:marRight w:val="0"/>
      <w:marTop w:val="0"/>
      <w:marBottom w:val="0"/>
      <w:divBdr>
        <w:top w:val="none" w:sz="0" w:space="0" w:color="auto"/>
        <w:left w:val="none" w:sz="0" w:space="0" w:color="auto"/>
        <w:bottom w:val="none" w:sz="0" w:space="0" w:color="auto"/>
        <w:right w:val="none" w:sz="0" w:space="0" w:color="auto"/>
      </w:divBdr>
    </w:div>
    <w:div w:id="782924844">
      <w:bodyDiv w:val="1"/>
      <w:marLeft w:val="0"/>
      <w:marRight w:val="0"/>
      <w:marTop w:val="0"/>
      <w:marBottom w:val="0"/>
      <w:divBdr>
        <w:top w:val="none" w:sz="0" w:space="0" w:color="auto"/>
        <w:left w:val="none" w:sz="0" w:space="0" w:color="auto"/>
        <w:bottom w:val="none" w:sz="0" w:space="0" w:color="auto"/>
        <w:right w:val="none" w:sz="0" w:space="0" w:color="auto"/>
      </w:divBdr>
    </w:div>
    <w:div w:id="812023131">
      <w:bodyDiv w:val="1"/>
      <w:marLeft w:val="0"/>
      <w:marRight w:val="0"/>
      <w:marTop w:val="0"/>
      <w:marBottom w:val="0"/>
      <w:divBdr>
        <w:top w:val="none" w:sz="0" w:space="0" w:color="auto"/>
        <w:left w:val="none" w:sz="0" w:space="0" w:color="auto"/>
        <w:bottom w:val="none" w:sz="0" w:space="0" w:color="auto"/>
        <w:right w:val="none" w:sz="0" w:space="0" w:color="auto"/>
      </w:divBdr>
    </w:div>
    <w:div w:id="818184099">
      <w:bodyDiv w:val="1"/>
      <w:marLeft w:val="0"/>
      <w:marRight w:val="0"/>
      <w:marTop w:val="0"/>
      <w:marBottom w:val="0"/>
      <w:divBdr>
        <w:top w:val="none" w:sz="0" w:space="0" w:color="auto"/>
        <w:left w:val="none" w:sz="0" w:space="0" w:color="auto"/>
        <w:bottom w:val="none" w:sz="0" w:space="0" w:color="auto"/>
        <w:right w:val="none" w:sz="0" w:space="0" w:color="auto"/>
      </w:divBdr>
    </w:div>
    <w:div w:id="830607464">
      <w:bodyDiv w:val="1"/>
      <w:marLeft w:val="0"/>
      <w:marRight w:val="0"/>
      <w:marTop w:val="0"/>
      <w:marBottom w:val="0"/>
      <w:divBdr>
        <w:top w:val="none" w:sz="0" w:space="0" w:color="auto"/>
        <w:left w:val="none" w:sz="0" w:space="0" w:color="auto"/>
        <w:bottom w:val="none" w:sz="0" w:space="0" w:color="auto"/>
        <w:right w:val="none" w:sz="0" w:space="0" w:color="auto"/>
      </w:divBdr>
    </w:div>
    <w:div w:id="846600605">
      <w:bodyDiv w:val="1"/>
      <w:marLeft w:val="0"/>
      <w:marRight w:val="0"/>
      <w:marTop w:val="0"/>
      <w:marBottom w:val="0"/>
      <w:divBdr>
        <w:top w:val="none" w:sz="0" w:space="0" w:color="auto"/>
        <w:left w:val="none" w:sz="0" w:space="0" w:color="auto"/>
        <w:bottom w:val="none" w:sz="0" w:space="0" w:color="auto"/>
        <w:right w:val="none" w:sz="0" w:space="0" w:color="auto"/>
      </w:divBdr>
    </w:div>
    <w:div w:id="878780392">
      <w:bodyDiv w:val="1"/>
      <w:marLeft w:val="0"/>
      <w:marRight w:val="0"/>
      <w:marTop w:val="0"/>
      <w:marBottom w:val="0"/>
      <w:divBdr>
        <w:top w:val="none" w:sz="0" w:space="0" w:color="auto"/>
        <w:left w:val="none" w:sz="0" w:space="0" w:color="auto"/>
        <w:bottom w:val="none" w:sz="0" w:space="0" w:color="auto"/>
        <w:right w:val="none" w:sz="0" w:space="0" w:color="auto"/>
      </w:divBdr>
    </w:div>
    <w:div w:id="891885299">
      <w:bodyDiv w:val="1"/>
      <w:marLeft w:val="0"/>
      <w:marRight w:val="0"/>
      <w:marTop w:val="0"/>
      <w:marBottom w:val="0"/>
      <w:divBdr>
        <w:top w:val="none" w:sz="0" w:space="0" w:color="auto"/>
        <w:left w:val="none" w:sz="0" w:space="0" w:color="auto"/>
        <w:bottom w:val="none" w:sz="0" w:space="0" w:color="auto"/>
        <w:right w:val="none" w:sz="0" w:space="0" w:color="auto"/>
      </w:divBdr>
    </w:div>
    <w:div w:id="914319986">
      <w:bodyDiv w:val="1"/>
      <w:marLeft w:val="0"/>
      <w:marRight w:val="0"/>
      <w:marTop w:val="0"/>
      <w:marBottom w:val="0"/>
      <w:divBdr>
        <w:top w:val="none" w:sz="0" w:space="0" w:color="auto"/>
        <w:left w:val="none" w:sz="0" w:space="0" w:color="auto"/>
        <w:bottom w:val="none" w:sz="0" w:space="0" w:color="auto"/>
        <w:right w:val="none" w:sz="0" w:space="0" w:color="auto"/>
      </w:divBdr>
    </w:div>
    <w:div w:id="919826957">
      <w:bodyDiv w:val="1"/>
      <w:marLeft w:val="0"/>
      <w:marRight w:val="0"/>
      <w:marTop w:val="0"/>
      <w:marBottom w:val="0"/>
      <w:divBdr>
        <w:top w:val="none" w:sz="0" w:space="0" w:color="auto"/>
        <w:left w:val="none" w:sz="0" w:space="0" w:color="auto"/>
        <w:bottom w:val="none" w:sz="0" w:space="0" w:color="auto"/>
        <w:right w:val="none" w:sz="0" w:space="0" w:color="auto"/>
      </w:divBdr>
    </w:div>
    <w:div w:id="923800676">
      <w:bodyDiv w:val="1"/>
      <w:marLeft w:val="0"/>
      <w:marRight w:val="0"/>
      <w:marTop w:val="0"/>
      <w:marBottom w:val="0"/>
      <w:divBdr>
        <w:top w:val="none" w:sz="0" w:space="0" w:color="auto"/>
        <w:left w:val="none" w:sz="0" w:space="0" w:color="auto"/>
        <w:bottom w:val="none" w:sz="0" w:space="0" w:color="auto"/>
        <w:right w:val="none" w:sz="0" w:space="0" w:color="auto"/>
      </w:divBdr>
    </w:div>
    <w:div w:id="958219714">
      <w:bodyDiv w:val="1"/>
      <w:marLeft w:val="0"/>
      <w:marRight w:val="0"/>
      <w:marTop w:val="0"/>
      <w:marBottom w:val="0"/>
      <w:divBdr>
        <w:top w:val="none" w:sz="0" w:space="0" w:color="auto"/>
        <w:left w:val="none" w:sz="0" w:space="0" w:color="auto"/>
        <w:bottom w:val="none" w:sz="0" w:space="0" w:color="auto"/>
        <w:right w:val="none" w:sz="0" w:space="0" w:color="auto"/>
      </w:divBdr>
    </w:div>
    <w:div w:id="966735295">
      <w:bodyDiv w:val="1"/>
      <w:marLeft w:val="0"/>
      <w:marRight w:val="0"/>
      <w:marTop w:val="0"/>
      <w:marBottom w:val="0"/>
      <w:divBdr>
        <w:top w:val="none" w:sz="0" w:space="0" w:color="auto"/>
        <w:left w:val="none" w:sz="0" w:space="0" w:color="auto"/>
        <w:bottom w:val="none" w:sz="0" w:space="0" w:color="auto"/>
        <w:right w:val="none" w:sz="0" w:space="0" w:color="auto"/>
      </w:divBdr>
    </w:div>
    <w:div w:id="969475764">
      <w:bodyDiv w:val="1"/>
      <w:marLeft w:val="0"/>
      <w:marRight w:val="0"/>
      <w:marTop w:val="0"/>
      <w:marBottom w:val="0"/>
      <w:divBdr>
        <w:top w:val="none" w:sz="0" w:space="0" w:color="auto"/>
        <w:left w:val="none" w:sz="0" w:space="0" w:color="auto"/>
        <w:bottom w:val="none" w:sz="0" w:space="0" w:color="auto"/>
        <w:right w:val="none" w:sz="0" w:space="0" w:color="auto"/>
      </w:divBdr>
    </w:div>
    <w:div w:id="995231121">
      <w:bodyDiv w:val="1"/>
      <w:marLeft w:val="0"/>
      <w:marRight w:val="0"/>
      <w:marTop w:val="0"/>
      <w:marBottom w:val="0"/>
      <w:divBdr>
        <w:top w:val="none" w:sz="0" w:space="0" w:color="auto"/>
        <w:left w:val="none" w:sz="0" w:space="0" w:color="auto"/>
        <w:bottom w:val="none" w:sz="0" w:space="0" w:color="auto"/>
        <w:right w:val="none" w:sz="0" w:space="0" w:color="auto"/>
      </w:divBdr>
    </w:div>
    <w:div w:id="995381448">
      <w:bodyDiv w:val="1"/>
      <w:marLeft w:val="0"/>
      <w:marRight w:val="0"/>
      <w:marTop w:val="0"/>
      <w:marBottom w:val="0"/>
      <w:divBdr>
        <w:top w:val="none" w:sz="0" w:space="0" w:color="auto"/>
        <w:left w:val="none" w:sz="0" w:space="0" w:color="auto"/>
        <w:bottom w:val="none" w:sz="0" w:space="0" w:color="auto"/>
        <w:right w:val="none" w:sz="0" w:space="0" w:color="auto"/>
      </w:divBdr>
    </w:div>
    <w:div w:id="1002314970">
      <w:bodyDiv w:val="1"/>
      <w:marLeft w:val="0"/>
      <w:marRight w:val="0"/>
      <w:marTop w:val="0"/>
      <w:marBottom w:val="0"/>
      <w:divBdr>
        <w:top w:val="none" w:sz="0" w:space="0" w:color="auto"/>
        <w:left w:val="none" w:sz="0" w:space="0" w:color="auto"/>
        <w:bottom w:val="none" w:sz="0" w:space="0" w:color="auto"/>
        <w:right w:val="none" w:sz="0" w:space="0" w:color="auto"/>
      </w:divBdr>
    </w:div>
    <w:div w:id="1008479617">
      <w:bodyDiv w:val="1"/>
      <w:marLeft w:val="0"/>
      <w:marRight w:val="0"/>
      <w:marTop w:val="0"/>
      <w:marBottom w:val="0"/>
      <w:divBdr>
        <w:top w:val="none" w:sz="0" w:space="0" w:color="auto"/>
        <w:left w:val="none" w:sz="0" w:space="0" w:color="auto"/>
        <w:bottom w:val="none" w:sz="0" w:space="0" w:color="auto"/>
        <w:right w:val="none" w:sz="0" w:space="0" w:color="auto"/>
      </w:divBdr>
    </w:div>
    <w:div w:id="1031616485">
      <w:bodyDiv w:val="1"/>
      <w:marLeft w:val="0"/>
      <w:marRight w:val="0"/>
      <w:marTop w:val="0"/>
      <w:marBottom w:val="0"/>
      <w:divBdr>
        <w:top w:val="none" w:sz="0" w:space="0" w:color="auto"/>
        <w:left w:val="none" w:sz="0" w:space="0" w:color="auto"/>
        <w:bottom w:val="none" w:sz="0" w:space="0" w:color="auto"/>
        <w:right w:val="none" w:sz="0" w:space="0" w:color="auto"/>
      </w:divBdr>
    </w:div>
    <w:div w:id="1040521386">
      <w:bodyDiv w:val="1"/>
      <w:marLeft w:val="0"/>
      <w:marRight w:val="0"/>
      <w:marTop w:val="0"/>
      <w:marBottom w:val="0"/>
      <w:divBdr>
        <w:top w:val="none" w:sz="0" w:space="0" w:color="auto"/>
        <w:left w:val="none" w:sz="0" w:space="0" w:color="auto"/>
        <w:bottom w:val="none" w:sz="0" w:space="0" w:color="auto"/>
        <w:right w:val="none" w:sz="0" w:space="0" w:color="auto"/>
      </w:divBdr>
    </w:div>
    <w:div w:id="1098450641">
      <w:bodyDiv w:val="1"/>
      <w:marLeft w:val="0"/>
      <w:marRight w:val="0"/>
      <w:marTop w:val="0"/>
      <w:marBottom w:val="0"/>
      <w:divBdr>
        <w:top w:val="none" w:sz="0" w:space="0" w:color="auto"/>
        <w:left w:val="none" w:sz="0" w:space="0" w:color="auto"/>
        <w:bottom w:val="none" w:sz="0" w:space="0" w:color="auto"/>
        <w:right w:val="none" w:sz="0" w:space="0" w:color="auto"/>
      </w:divBdr>
    </w:div>
    <w:div w:id="1149978097">
      <w:bodyDiv w:val="1"/>
      <w:marLeft w:val="0"/>
      <w:marRight w:val="0"/>
      <w:marTop w:val="0"/>
      <w:marBottom w:val="0"/>
      <w:divBdr>
        <w:top w:val="none" w:sz="0" w:space="0" w:color="auto"/>
        <w:left w:val="none" w:sz="0" w:space="0" w:color="auto"/>
        <w:bottom w:val="none" w:sz="0" w:space="0" w:color="auto"/>
        <w:right w:val="none" w:sz="0" w:space="0" w:color="auto"/>
      </w:divBdr>
    </w:div>
    <w:div w:id="1167793802">
      <w:bodyDiv w:val="1"/>
      <w:marLeft w:val="0"/>
      <w:marRight w:val="0"/>
      <w:marTop w:val="0"/>
      <w:marBottom w:val="0"/>
      <w:divBdr>
        <w:top w:val="none" w:sz="0" w:space="0" w:color="auto"/>
        <w:left w:val="none" w:sz="0" w:space="0" w:color="auto"/>
        <w:bottom w:val="none" w:sz="0" w:space="0" w:color="auto"/>
        <w:right w:val="none" w:sz="0" w:space="0" w:color="auto"/>
      </w:divBdr>
    </w:div>
    <w:div w:id="1168253570">
      <w:bodyDiv w:val="1"/>
      <w:marLeft w:val="0"/>
      <w:marRight w:val="0"/>
      <w:marTop w:val="0"/>
      <w:marBottom w:val="0"/>
      <w:divBdr>
        <w:top w:val="none" w:sz="0" w:space="0" w:color="auto"/>
        <w:left w:val="none" w:sz="0" w:space="0" w:color="auto"/>
        <w:bottom w:val="none" w:sz="0" w:space="0" w:color="auto"/>
        <w:right w:val="none" w:sz="0" w:space="0" w:color="auto"/>
      </w:divBdr>
    </w:div>
    <w:div w:id="1179731295">
      <w:bodyDiv w:val="1"/>
      <w:marLeft w:val="0"/>
      <w:marRight w:val="0"/>
      <w:marTop w:val="0"/>
      <w:marBottom w:val="0"/>
      <w:divBdr>
        <w:top w:val="none" w:sz="0" w:space="0" w:color="auto"/>
        <w:left w:val="none" w:sz="0" w:space="0" w:color="auto"/>
        <w:bottom w:val="none" w:sz="0" w:space="0" w:color="auto"/>
        <w:right w:val="none" w:sz="0" w:space="0" w:color="auto"/>
      </w:divBdr>
    </w:div>
    <w:div w:id="1207065004">
      <w:bodyDiv w:val="1"/>
      <w:marLeft w:val="0"/>
      <w:marRight w:val="0"/>
      <w:marTop w:val="0"/>
      <w:marBottom w:val="0"/>
      <w:divBdr>
        <w:top w:val="none" w:sz="0" w:space="0" w:color="auto"/>
        <w:left w:val="none" w:sz="0" w:space="0" w:color="auto"/>
        <w:bottom w:val="none" w:sz="0" w:space="0" w:color="auto"/>
        <w:right w:val="none" w:sz="0" w:space="0" w:color="auto"/>
      </w:divBdr>
    </w:div>
    <w:div w:id="1210141354">
      <w:bodyDiv w:val="1"/>
      <w:marLeft w:val="0"/>
      <w:marRight w:val="0"/>
      <w:marTop w:val="0"/>
      <w:marBottom w:val="0"/>
      <w:divBdr>
        <w:top w:val="none" w:sz="0" w:space="0" w:color="auto"/>
        <w:left w:val="none" w:sz="0" w:space="0" w:color="auto"/>
        <w:bottom w:val="none" w:sz="0" w:space="0" w:color="auto"/>
        <w:right w:val="none" w:sz="0" w:space="0" w:color="auto"/>
      </w:divBdr>
    </w:div>
    <w:div w:id="1249657577">
      <w:bodyDiv w:val="1"/>
      <w:marLeft w:val="0"/>
      <w:marRight w:val="0"/>
      <w:marTop w:val="0"/>
      <w:marBottom w:val="0"/>
      <w:divBdr>
        <w:top w:val="none" w:sz="0" w:space="0" w:color="auto"/>
        <w:left w:val="none" w:sz="0" w:space="0" w:color="auto"/>
        <w:bottom w:val="none" w:sz="0" w:space="0" w:color="auto"/>
        <w:right w:val="none" w:sz="0" w:space="0" w:color="auto"/>
      </w:divBdr>
    </w:div>
    <w:div w:id="1262489112">
      <w:bodyDiv w:val="1"/>
      <w:marLeft w:val="0"/>
      <w:marRight w:val="0"/>
      <w:marTop w:val="0"/>
      <w:marBottom w:val="0"/>
      <w:divBdr>
        <w:top w:val="none" w:sz="0" w:space="0" w:color="auto"/>
        <w:left w:val="none" w:sz="0" w:space="0" w:color="auto"/>
        <w:bottom w:val="none" w:sz="0" w:space="0" w:color="auto"/>
        <w:right w:val="none" w:sz="0" w:space="0" w:color="auto"/>
      </w:divBdr>
    </w:div>
    <w:div w:id="1273630196">
      <w:bodyDiv w:val="1"/>
      <w:marLeft w:val="0"/>
      <w:marRight w:val="0"/>
      <w:marTop w:val="0"/>
      <w:marBottom w:val="0"/>
      <w:divBdr>
        <w:top w:val="none" w:sz="0" w:space="0" w:color="auto"/>
        <w:left w:val="none" w:sz="0" w:space="0" w:color="auto"/>
        <w:bottom w:val="none" w:sz="0" w:space="0" w:color="auto"/>
        <w:right w:val="none" w:sz="0" w:space="0" w:color="auto"/>
      </w:divBdr>
    </w:div>
    <w:div w:id="1278834740">
      <w:bodyDiv w:val="1"/>
      <w:marLeft w:val="0"/>
      <w:marRight w:val="0"/>
      <w:marTop w:val="0"/>
      <w:marBottom w:val="0"/>
      <w:divBdr>
        <w:top w:val="none" w:sz="0" w:space="0" w:color="auto"/>
        <w:left w:val="none" w:sz="0" w:space="0" w:color="auto"/>
        <w:bottom w:val="none" w:sz="0" w:space="0" w:color="auto"/>
        <w:right w:val="none" w:sz="0" w:space="0" w:color="auto"/>
      </w:divBdr>
    </w:div>
    <w:div w:id="1282222594">
      <w:bodyDiv w:val="1"/>
      <w:marLeft w:val="0"/>
      <w:marRight w:val="0"/>
      <w:marTop w:val="0"/>
      <w:marBottom w:val="0"/>
      <w:divBdr>
        <w:top w:val="none" w:sz="0" w:space="0" w:color="auto"/>
        <w:left w:val="none" w:sz="0" w:space="0" w:color="auto"/>
        <w:bottom w:val="none" w:sz="0" w:space="0" w:color="auto"/>
        <w:right w:val="none" w:sz="0" w:space="0" w:color="auto"/>
      </w:divBdr>
    </w:div>
    <w:div w:id="1288898741">
      <w:bodyDiv w:val="1"/>
      <w:marLeft w:val="0"/>
      <w:marRight w:val="0"/>
      <w:marTop w:val="0"/>
      <w:marBottom w:val="0"/>
      <w:divBdr>
        <w:top w:val="none" w:sz="0" w:space="0" w:color="auto"/>
        <w:left w:val="none" w:sz="0" w:space="0" w:color="auto"/>
        <w:bottom w:val="none" w:sz="0" w:space="0" w:color="auto"/>
        <w:right w:val="none" w:sz="0" w:space="0" w:color="auto"/>
      </w:divBdr>
    </w:div>
    <w:div w:id="1291284759">
      <w:bodyDiv w:val="1"/>
      <w:marLeft w:val="0"/>
      <w:marRight w:val="0"/>
      <w:marTop w:val="0"/>
      <w:marBottom w:val="0"/>
      <w:divBdr>
        <w:top w:val="none" w:sz="0" w:space="0" w:color="auto"/>
        <w:left w:val="none" w:sz="0" w:space="0" w:color="auto"/>
        <w:bottom w:val="none" w:sz="0" w:space="0" w:color="auto"/>
        <w:right w:val="none" w:sz="0" w:space="0" w:color="auto"/>
      </w:divBdr>
    </w:div>
    <w:div w:id="1294630810">
      <w:bodyDiv w:val="1"/>
      <w:marLeft w:val="0"/>
      <w:marRight w:val="0"/>
      <w:marTop w:val="0"/>
      <w:marBottom w:val="0"/>
      <w:divBdr>
        <w:top w:val="none" w:sz="0" w:space="0" w:color="auto"/>
        <w:left w:val="none" w:sz="0" w:space="0" w:color="auto"/>
        <w:bottom w:val="none" w:sz="0" w:space="0" w:color="auto"/>
        <w:right w:val="none" w:sz="0" w:space="0" w:color="auto"/>
      </w:divBdr>
    </w:div>
    <w:div w:id="1297177327">
      <w:bodyDiv w:val="1"/>
      <w:marLeft w:val="0"/>
      <w:marRight w:val="0"/>
      <w:marTop w:val="0"/>
      <w:marBottom w:val="0"/>
      <w:divBdr>
        <w:top w:val="none" w:sz="0" w:space="0" w:color="auto"/>
        <w:left w:val="none" w:sz="0" w:space="0" w:color="auto"/>
        <w:bottom w:val="none" w:sz="0" w:space="0" w:color="auto"/>
        <w:right w:val="none" w:sz="0" w:space="0" w:color="auto"/>
      </w:divBdr>
    </w:div>
    <w:div w:id="1300109925">
      <w:bodyDiv w:val="1"/>
      <w:marLeft w:val="0"/>
      <w:marRight w:val="0"/>
      <w:marTop w:val="0"/>
      <w:marBottom w:val="0"/>
      <w:divBdr>
        <w:top w:val="none" w:sz="0" w:space="0" w:color="auto"/>
        <w:left w:val="none" w:sz="0" w:space="0" w:color="auto"/>
        <w:bottom w:val="none" w:sz="0" w:space="0" w:color="auto"/>
        <w:right w:val="none" w:sz="0" w:space="0" w:color="auto"/>
      </w:divBdr>
    </w:div>
    <w:div w:id="1300964611">
      <w:bodyDiv w:val="1"/>
      <w:marLeft w:val="0"/>
      <w:marRight w:val="0"/>
      <w:marTop w:val="0"/>
      <w:marBottom w:val="0"/>
      <w:divBdr>
        <w:top w:val="none" w:sz="0" w:space="0" w:color="auto"/>
        <w:left w:val="none" w:sz="0" w:space="0" w:color="auto"/>
        <w:bottom w:val="none" w:sz="0" w:space="0" w:color="auto"/>
        <w:right w:val="none" w:sz="0" w:space="0" w:color="auto"/>
      </w:divBdr>
    </w:div>
    <w:div w:id="1344817952">
      <w:bodyDiv w:val="1"/>
      <w:marLeft w:val="0"/>
      <w:marRight w:val="0"/>
      <w:marTop w:val="0"/>
      <w:marBottom w:val="0"/>
      <w:divBdr>
        <w:top w:val="none" w:sz="0" w:space="0" w:color="auto"/>
        <w:left w:val="none" w:sz="0" w:space="0" w:color="auto"/>
        <w:bottom w:val="none" w:sz="0" w:space="0" w:color="auto"/>
        <w:right w:val="none" w:sz="0" w:space="0" w:color="auto"/>
      </w:divBdr>
    </w:div>
    <w:div w:id="1379936586">
      <w:bodyDiv w:val="1"/>
      <w:marLeft w:val="0"/>
      <w:marRight w:val="0"/>
      <w:marTop w:val="0"/>
      <w:marBottom w:val="0"/>
      <w:divBdr>
        <w:top w:val="none" w:sz="0" w:space="0" w:color="auto"/>
        <w:left w:val="none" w:sz="0" w:space="0" w:color="auto"/>
        <w:bottom w:val="none" w:sz="0" w:space="0" w:color="auto"/>
        <w:right w:val="none" w:sz="0" w:space="0" w:color="auto"/>
      </w:divBdr>
    </w:div>
    <w:div w:id="1389844667">
      <w:bodyDiv w:val="1"/>
      <w:marLeft w:val="0"/>
      <w:marRight w:val="0"/>
      <w:marTop w:val="0"/>
      <w:marBottom w:val="0"/>
      <w:divBdr>
        <w:top w:val="none" w:sz="0" w:space="0" w:color="auto"/>
        <w:left w:val="none" w:sz="0" w:space="0" w:color="auto"/>
        <w:bottom w:val="none" w:sz="0" w:space="0" w:color="auto"/>
        <w:right w:val="none" w:sz="0" w:space="0" w:color="auto"/>
      </w:divBdr>
    </w:div>
    <w:div w:id="1413163820">
      <w:bodyDiv w:val="1"/>
      <w:marLeft w:val="0"/>
      <w:marRight w:val="0"/>
      <w:marTop w:val="0"/>
      <w:marBottom w:val="0"/>
      <w:divBdr>
        <w:top w:val="none" w:sz="0" w:space="0" w:color="auto"/>
        <w:left w:val="none" w:sz="0" w:space="0" w:color="auto"/>
        <w:bottom w:val="none" w:sz="0" w:space="0" w:color="auto"/>
        <w:right w:val="none" w:sz="0" w:space="0" w:color="auto"/>
      </w:divBdr>
    </w:div>
    <w:div w:id="1422096191">
      <w:bodyDiv w:val="1"/>
      <w:marLeft w:val="0"/>
      <w:marRight w:val="0"/>
      <w:marTop w:val="0"/>
      <w:marBottom w:val="0"/>
      <w:divBdr>
        <w:top w:val="none" w:sz="0" w:space="0" w:color="auto"/>
        <w:left w:val="none" w:sz="0" w:space="0" w:color="auto"/>
        <w:bottom w:val="none" w:sz="0" w:space="0" w:color="auto"/>
        <w:right w:val="none" w:sz="0" w:space="0" w:color="auto"/>
      </w:divBdr>
    </w:div>
    <w:div w:id="1424033918">
      <w:bodyDiv w:val="1"/>
      <w:marLeft w:val="0"/>
      <w:marRight w:val="0"/>
      <w:marTop w:val="0"/>
      <w:marBottom w:val="0"/>
      <w:divBdr>
        <w:top w:val="none" w:sz="0" w:space="0" w:color="auto"/>
        <w:left w:val="none" w:sz="0" w:space="0" w:color="auto"/>
        <w:bottom w:val="none" w:sz="0" w:space="0" w:color="auto"/>
        <w:right w:val="none" w:sz="0" w:space="0" w:color="auto"/>
      </w:divBdr>
    </w:div>
    <w:div w:id="1449009636">
      <w:bodyDiv w:val="1"/>
      <w:marLeft w:val="0"/>
      <w:marRight w:val="0"/>
      <w:marTop w:val="0"/>
      <w:marBottom w:val="0"/>
      <w:divBdr>
        <w:top w:val="none" w:sz="0" w:space="0" w:color="auto"/>
        <w:left w:val="none" w:sz="0" w:space="0" w:color="auto"/>
        <w:bottom w:val="none" w:sz="0" w:space="0" w:color="auto"/>
        <w:right w:val="none" w:sz="0" w:space="0" w:color="auto"/>
      </w:divBdr>
    </w:div>
    <w:div w:id="1465612716">
      <w:bodyDiv w:val="1"/>
      <w:marLeft w:val="0"/>
      <w:marRight w:val="0"/>
      <w:marTop w:val="0"/>
      <w:marBottom w:val="0"/>
      <w:divBdr>
        <w:top w:val="none" w:sz="0" w:space="0" w:color="auto"/>
        <w:left w:val="none" w:sz="0" w:space="0" w:color="auto"/>
        <w:bottom w:val="none" w:sz="0" w:space="0" w:color="auto"/>
        <w:right w:val="none" w:sz="0" w:space="0" w:color="auto"/>
      </w:divBdr>
    </w:div>
    <w:div w:id="1484736033">
      <w:bodyDiv w:val="1"/>
      <w:marLeft w:val="0"/>
      <w:marRight w:val="0"/>
      <w:marTop w:val="0"/>
      <w:marBottom w:val="0"/>
      <w:divBdr>
        <w:top w:val="none" w:sz="0" w:space="0" w:color="auto"/>
        <w:left w:val="none" w:sz="0" w:space="0" w:color="auto"/>
        <w:bottom w:val="none" w:sz="0" w:space="0" w:color="auto"/>
        <w:right w:val="none" w:sz="0" w:space="0" w:color="auto"/>
      </w:divBdr>
    </w:div>
    <w:div w:id="1487669644">
      <w:bodyDiv w:val="1"/>
      <w:marLeft w:val="0"/>
      <w:marRight w:val="0"/>
      <w:marTop w:val="0"/>
      <w:marBottom w:val="0"/>
      <w:divBdr>
        <w:top w:val="none" w:sz="0" w:space="0" w:color="auto"/>
        <w:left w:val="none" w:sz="0" w:space="0" w:color="auto"/>
        <w:bottom w:val="none" w:sz="0" w:space="0" w:color="auto"/>
        <w:right w:val="none" w:sz="0" w:space="0" w:color="auto"/>
      </w:divBdr>
    </w:div>
    <w:div w:id="1500536465">
      <w:bodyDiv w:val="1"/>
      <w:marLeft w:val="0"/>
      <w:marRight w:val="0"/>
      <w:marTop w:val="0"/>
      <w:marBottom w:val="0"/>
      <w:divBdr>
        <w:top w:val="none" w:sz="0" w:space="0" w:color="auto"/>
        <w:left w:val="none" w:sz="0" w:space="0" w:color="auto"/>
        <w:bottom w:val="none" w:sz="0" w:space="0" w:color="auto"/>
        <w:right w:val="none" w:sz="0" w:space="0" w:color="auto"/>
      </w:divBdr>
    </w:div>
    <w:div w:id="1520007393">
      <w:bodyDiv w:val="1"/>
      <w:marLeft w:val="0"/>
      <w:marRight w:val="0"/>
      <w:marTop w:val="0"/>
      <w:marBottom w:val="0"/>
      <w:divBdr>
        <w:top w:val="none" w:sz="0" w:space="0" w:color="auto"/>
        <w:left w:val="none" w:sz="0" w:space="0" w:color="auto"/>
        <w:bottom w:val="none" w:sz="0" w:space="0" w:color="auto"/>
        <w:right w:val="none" w:sz="0" w:space="0" w:color="auto"/>
      </w:divBdr>
    </w:div>
    <w:div w:id="1535070743">
      <w:bodyDiv w:val="1"/>
      <w:marLeft w:val="0"/>
      <w:marRight w:val="0"/>
      <w:marTop w:val="0"/>
      <w:marBottom w:val="0"/>
      <w:divBdr>
        <w:top w:val="none" w:sz="0" w:space="0" w:color="auto"/>
        <w:left w:val="none" w:sz="0" w:space="0" w:color="auto"/>
        <w:bottom w:val="none" w:sz="0" w:space="0" w:color="auto"/>
        <w:right w:val="none" w:sz="0" w:space="0" w:color="auto"/>
      </w:divBdr>
    </w:div>
    <w:div w:id="1547714196">
      <w:bodyDiv w:val="1"/>
      <w:marLeft w:val="0"/>
      <w:marRight w:val="0"/>
      <w:marTop w:val="0"/>
      <w:marBottom w:val="0"/>
      <w:divBdr>
        <w:top w:val="none" w:sz="0" w:space="0" w:color="auto"/>
        <w:left w:val="none" w:sz="0" w:space="0" w:color="auto"/>
        <w:bottom w:val="none" w:sz="0" w:space="0" w:color="auto"/>
        <w:right w:val="none" w:sz="0" w:space="0" w:color="auto"/>
      </w:divBdr>
    </w:div>
    <w:div w:id="1553880502">
      <w:bodyDiv w:val="1"/>
      <w:marLeft w:val="0"/>
      <w:marRight w:val="0"/>
      <w:marTop w:val="0"/>
      <w:marBottom w:val="0"/>
      <w:divBdr>
        <w:top w:val="none" w:sz="0" w:space="0" w:color="auto"/>
        <w:left w:val="none" w:sz="0" w:space="0" w:color="auto"/>
        <w:bottom w:val="none" w:sz="0" w:space="0" w:color="auto"/>
        <w:right w:val="none" w:sz="0" w:space="0" w:color="auto"/>
      </w:divBdr>
    </w:div>
    <w:div w:id="1573349049">
      <w:bodyDiv w:val="1"/>
      <w:marLeft w:val="0"/>
      <w:marRight w:val="0"/>
      <w:marTop w:val="0"/>
      <w:marBottom w:val="0"/>
      <w:divBdr>
        <w:top w:val="none" w:sz="0" w:space="0" w:color="auto"/>
        <w:left w:val="none" w:sz="0" w:space="0" w:color="auto"/>
        <w:bottom w:val="none" w:sz="0" w:space="0" w:color="auto"/>
        <w:right w:val="none" w:sz="0" w:space="0" w:color="auto"/>
      </w:divBdr>
    </w:div>
    <w:div w:id="1574243179">
      <w:bodyDiv w:val="1"/>
      <w:marLeft w:val="0"/>
      <w:marRight w:val="0"/>
      <w:marTop w:val="0"/>
      <w:marBottom w:val="0"/>
      <w:divBdr>
        <w:top w:val="none" w:sz="0" w:space="0" w:color="auto"/>
        <w:left w:val="none" w:sz="0" w:space="0" w:color="auto"/>
        <w:bottom w:val="none" w:sz="0" w:space="0" w:color="auto"/>
        <w:right w:val="none" w:sz="0" w:space="0" w:color="auto"/>
      </w:divBdr>
    </w:div>
    <w:div w:id="1595480929">
      <w:bodyDiv w:val="1"/>
      <w:marLeft w:val="0"/>
      <w:marRight w:val="0"/>
      <w:marTop w:val="0"/>
      <w:marBottom w:val="0"/>
      <w:divBdr>
        <w:top w:val="none" w:sz="0" w:space="0" w:color="auto"/>
        <w:left w:val="none" w:sz="0" w:space="0" w:color="auto"/>
        <w:bottom w:val="none" w:sz="0" w:space="0" w:color="auto"/>
        <w:right w:val="none" w:sz="0" w:space="0" w:color="auto"/>
      </w:divBdr>
    </w:div>
    <w:div w:id="1639455333">
      <w:bodyDiv w:val="1"/>
      <w:marLeft w:val="0"/>
      <w:marRight w:val="0"/>
      <w:marTop w:val="0"/>
      <w:marBottom w:val="0"/>
      <w:divBdr>
        <w:top w:val="none" w:sz="0" w:space="0" w:color="auto"/>
        <w:left w:val="none" w:sz="0" w:space="0" w:color="auto"/>
        <w:bottom w:val="none" w:sz="0" w:space="0" w:color="auto"/>
        <w:right w:val="none" w:sz="0" w:space="0" w:color="auto"/>
      </w:divBdr>
    </w:div>
    <w:div w:id="1653020003">
      <w:bodyDiv w:val="1"/>
      <w:marLeft w:val="0"/>
      <w:marRight w:val="0"/>
      <w:marTop w:val="0"/>
      <w:marBottom w:val="0"/>
      <w:divBdr>
        <w:top w:val="none" w:sz="0" w:space="0" w:color="auto"/>
        <w:left w:val="none" w:sz="0" w:space="0" w:color="auto"/>
        <w:bottom w:val="none" w:sz="0" w:space="0" w:color="auto"/>
        <w:right w:val="none" w:sz="0" w:space="0" w:color="auto"/>
      </w:divBdr>
    </w:div>
    <w:div w:id="1675574857">
      <w:bodyDiv w:val="1"/>
      <w:marLeft w:val="0"/>
      <w:marRight w:val="0"/>
      <w:marTop w:val="0"/>
      <w:marBottom w:val="0"/>
      <w:divBdr>
        <w:top w:val="none" w:sz="0" w:space="0" w:color="auto"/>
        <w:left w:val="none" w:sz="0" w:space="0" w:color="auto"/>
        <w:bottom w:val="none" w:sz="0" w:space="0" w:color="auto"/>
        <w:right w:val="none" w:sz="0" w:space="0" w:color="auto"/>
      </w:divBdr>
    </w:div>
    <w:div w:id="1689990151">
      <w:bodyDiv w:val="1"/>
      <w:marLeft w:val="0"/>
      <w:marRight w:val="0"/>
      <w:marTop w:val="0"/>
      <w:marBottom w:val="0"/>
      <w:divBdr>
        <w:top w:val="none" w:sz="0" w:space="0" w:color="auto"/>
        <w:left w:val="none" w:sz="0" w:space="0" w:color="auto"/>
        <w:bottom w:val="none" w:sz="0" w:space="0" w:color="auto"/>
        <w:right w:val="none" w:sz="0" w:space="0" w:color="auto"/>
      </w:divBdr>
    </w:div>
    <w:div w:id="1692492921">
      <w:bodyDiv w:val="1"/>
      <w:marLeft w:val="0"/>
      <w:marRight w:val="0"/>
      <w:marTop w:val="0"/>
      <w:marBottom w:val="0"/>
      <w:divBdr>
        <w:top w:val="none" w:sz="0" w:space="0" w:color="auto"/>
        <w:left w:val="none" w:sz="0" w:space="0" w:color="auto"/>
        <w:bottom w:val="none" w:sz="0" w:space="0" w:color="auto"/>
        <w:right w:val="none" w:sz="0" w:space="0" w:color="auto"/>
      </w:divBdr>
    </w:div>
    <w:div w:id="1717463524">
      <w:bodyDiv w:val="1"/>
      <w:marLeft w:val="0"/>
      <w:marRight w:val="0"/>
      <w:marTop w:val="0"/>
      <w:marBottom w:val="0"/>
      <w:divBdr>
        <w:top w:val="none" w:sz="0" w:space="0" w:color="auto"/>
        <w:left w:val="none" w:sz="0" w:space="0" w:color="auto"/>
        <w:bottom w:val="none" w:sz="0" w:space="0" w:color="auto"/>
        <w:right w:val="none" w:sz="0" w:space="0" w:color="auto"/>
      </w:divBdr>
    </w:div>
    <w:div w:id="1743870307">
      <w:bodyDiv w:val="1"/>
      <w:marLeft w:val="0"/>
      <w:marRight w:val="0"/>
      <w:marTop w:val="0"/>
      <w:marBottom w:val="0"/>
      <w:divBdr>
        <w:top w:val="none" w:sz="0" w:space="0" w:color="auto"/>
        <w:left w:val="none" w:sz="0" w:space="0" w:color="auto"/>
        <w:bottom w:val="none" w:sz="0" w:space="0" w:color="auto"/>
        <w:right w:val="none" w:sz="0" w:space="0" w:color="auto"/>
      </w:divBdr>
    </w:div>
    <w:div w:id="1748334056">
      <w:bodyDiv w:val="1"/>
      <w:marLeft w:val="0"/>
      <w:marRight w:val="0"/>
      <w:marTop w:val="0"/>
      <w:marBottom w:val="0"/>
      <w:divBdr>
        <w:top w:val="none" w:sz="0" w:space="0" w:color="auto"/>
        <w:left w:val="none" w:sz="0" w:space="0" w:color="auto"/>
        <w:bottom w:val="none" w:sz="0" w:space="0" w:color="auto"/>
        <w:right w:val="none" w:sz="0" w:space="0" w:color="auto"/>
      </w:divBdr>
    </w:div>
    <w:div w:id="1766925797">
      <w:bodyDiv w:val="1"/>
      <w:marLeft w:val="0"/>
      <w:marRight w:val="0"/>
      <w:marTop w:val="0"/>
      <w:marBottom w:val="0"/>
      <w:divBdr>
        <w:top w:val="none" w:sz="0" w:space="0" w:color="auto"/>
        <w:left w:val="none" w:sz="0" w:space="0" w:color="auto"/>
        <w:bottom w:val="none" w:sz="0" w:space="0" w:color="auto"/>
        <w:right w:val="none" w:sz="0" w:space="0" w:color="auto"/>
      </w:divBdr>
    </w:div>
    <w:div w:id="1776755586">
      <w:bodyDiv w:val="1"/>
      <w:marLeft w:val="0"/>
      <w:marRight w:val="0"/>
      <w:marTop w:val="0"/>
      <w:marBottom w:val="0"/>
      <w:divBdr>
        <w:top w:val="none" w:sz="0" w:space="0" w:color="auto"/>
        <w:left w:val="none" w:sz="0" w:space="0" w:color="auto"/>
        <w:bottom w:val="none" w:sz="0" w:space="0" w:color="auto"/>
        <w:right w:val="none" w:sz="0" w:space="0" w:color="auto"/>
      </w:divBdr>
    </w:div>
    <w:div w:id="1824547505">
      <w:bodyDiv w:val="1"/>
      <w:marLeft w:val="0"/>
      <w:marRight w:val="0"/>
      <w:marTop w:val="0"/>
      <w:marBottom w:val="0"/>
      <w:divBdr>
        <w:top w:val="none" w:sz="0" w:space="0" w:color="auto"/>
        <w:left w:val="none" w:sz="0" w:space="0" w:color="auto"/>
        <w:bottom w:val="none" w:sz="0" w:space="0" w:color="auto"/>
        <w:right w:val="none" w:sz="0" w:space="0" w:color="auto"/>
      </w:divBdr>
    </w:div>
    <w:div w:id="1828283993">
      <w:bodyDiv w:val="1"/>
      <w:marLeft w:val="0"/>
      <w:marRight w:val="0"/>
      <w:marTop w:val="0"/>
      <w:marBottom w:val="0"/>
      <w:divBdr>
        <w:top w:val="none" w:sz="0" w:space="0" w:color="auto"/>
        <w:left w:val="none" w:sz="0" w:space="0" w:color="auto"/>
        <w:bottom w:val="none" w:sz="0" w:space="0" w:color="auto"/>
        <w:right w:val="none" w:sz="0" w:space="0" w:color="auto"/>
      </w:divBdr>
    </w:div>
    <w:div w:id="1831290966">
      <w:bodyDiv w:val="1"/>
      <w:marLeft w:val="0"/>
      <w:marRight w:val="0"/>
      <w:marTop w:val="0"/>
      <w:marBottom w:val="0"/>
      <w:divBdr>
        <w:top w:val="none" w:sz="0" w:space="0" w:color="auto"/>
        <w:left w:val="none" w:sz="0" w:space="0" w:color="auto"/>
        <w:bottom w:val="none" w:sz="0" w:space="0" w:color="auto"/>
        <w:right w:val="none" w:sz="0" w:space="0" w:color="auto"/>
      </w:divBdr>
    </w:div>
    <w:div w:id="1843930032">
      <w:bodyDiv w:val="1"/>
      <w:marLeft w:val="0"/>
      <w:marRight w:val="0"/>
      <w:marTop w:val="0"/>
      <w:marBottom w:val="0"/>
      <w:divBdr>
        <w:top w:val="none" w:sz="0" w:space="0" w:color="auto"/>
        <w:left w:val="none" w:sz="0" w:space="0" w:color="auto"/>
        <w:bottom w:val="none" w:sz="0" w:space="0" w:color="auto"/>
        <w:right w:val="none" w:sz="0" w:space="0" w:color="auto"/>
      </w:divBdr>
    </w:div>
    <w:div w:id="1885867210">
      <w:bodyDiv w:val="1"/>
      <w:marLeft w:val="0"/>
      <w:marRight w:val="0"/>
      <w:marTop w:val="0"/>
      <w:marBottom w:val="0"/>
      <w:divBdr>
        <w:top w:val="none" w:sz="0" w:space="0" w:color="auto"/>
        <w:left w:val="none" w:sz="0" w:space="0" w:color="auto"/>
        <w:bottom w:val="none" w:sz="0" w:space="0" w:color="auto"/>
        <w:right w:val="none" w:sz="0" w:space="0" w:color="auto"/>
      </w:divBdr>
    </w:div>
    <w:div w:id="1911235339">
      <w:bodyDiv w:val="1"/>
      <w:marLeft w:val="0"/>
      <w:marRight w:val="0"/>
      <w:marTop w:val="0"/>
      <w:marBottom w:val="0"/>
      <w:divBdr>
        <w:top w:val="none" w:sz="0" w:space="0" w:color="auto"/>
        <w:left w:val="none" w:sz="0" w:space="0" w:color="auto"/>
        <w:bottom w:val="none" w:sz="0" w:space="0" w:color="auto"/>
        <w:right w:val="none" w:sz="0" w:space="0" w:color="auto"/>
      </w:divBdr>
    </w:div>
    <w:div w:id="1948806775">
      <w:bodyDiv w:val="1"/>
      <w:marLeft w:val="0"/>
      <w:marRight w:val="0"/>
      <w:marTop w:val="0"/>
      <w:marBottom w:val="0"/>
      <w:divBdr>
        <w:top w:val="none" w:sz="0" w:space="0" w:color="auto"/>
        <w:left w:val="none" w:sz="0" w:space="0" w:color="auto"/>
        <w:bottom w:val="none" w:sz="0" w:space="0" w:color="auto"/>
        <w:right w:val="none" w:sz="0" w:space="0" w:color="auto"/>
      </w:divBdr>
    </w:div>
    <w:div w:id="1967200387">
      <w:bodyDiv w:val="1"/>
      <w:marLeft w:val="0"/>
      <w:marRight w:val="0"/>
      <w:marTop w:val="0"/>
      <w:marBottom w:val="0"/>
      <w:divBdr>
        <w:top w:val="none" w:sz="0" w:space="0" w:color="auto"/>
        <w:left w:val="none" w:sz="0" w:space="0" w:color="auto"/>
        <w:bottom w:val="none" w:sz="0" w:space="0" w:color="auto"/>
        <w:right w:val="none" w:sz="0" w:space="0" w:color="auto"/>
      </w:divBdr>
    </w:div>
    <w:div w:id="1994480905">
      <w:bodyDiv w:val="1"/>
      <w:marLeft w:val="0"/>
      <w:marRight w:val="0"/>
      <w:marTop w:val="0"/>
      <w:marBottom w:val="0"/>
      <w:divBdr>
        <w:top w:val="none" w:sz="0" w:space="0" w:color="auto"/>
        <w:left w:val="none" w:sz="0" w:space="0" w:color="auto"/>
        <w:bottom w:val="none" w:sz="0" w:space="0" w:color="auto"/>
        <w:right w:val="none" w:sz="0" w:space="0" w:color="auto"/>
      </w:divBdr>
    </w:div>
    <w:div w:id="2021925133">
      <w:bodyDiv w:val="1"/>
      <w:marLeft w:val="0"/>
      <w:marRight w:val="0"/>
      <w:marTop w:val="0"/>
      <w:marBottom w:val="0"/>
      <w:divBdr>
        <w:top w:val="none" w:sz="0" w:space="0" w:color="auto"/>
        <w:left w:val="none" w:sz="0" w:space="0" w:color="auto"/>
        <w:bottom w:val="none" w:sz="0" w:space="0" w:color="auto"/>
        <w:right w:val="none" w:sz="0" w:space="0" w:color="auto"/>
      </w:divBdr>
    </w:div>
    <w:div w:id="2054845670">
      <w:bodyDiv w:val="1"/>
      <w:marLeft w:val="0"/>
      <w:marRight w:val="0"/>
      <w:marTop w:val="0"/>
      <w:marBottom w:val="0"/>
      <w:divBdr>
        <w:top w:val="none" w:sz="0" w:space="0" w:color="auto"/>
        <w:left w:val="none" w:sz="0" w:space="0" w:color="auto"/>
        <w:bottom w:val="none" w:sz="0" w:space="0" w:color="auto"/>
        <w:right w:val="none" w:sz="0" w:space="0" w:color="auto"/>
      </w:divBdr>
    </w:div>
    <w:div w:id="2079474862">
      <w:bodyDiv w:val="1"/>
      <w:marLeft w:val="0"/>
      <w:marRight w:val="0"/>
      <w:marTop w:val="0"/>
      <w:marBottom w:val="0"/>
      <w:divBdr>
        <w:top w:val="none" w:sz="0" w:space="0" w:color="auto"/>
        <w:left w:val="none" w:sz="0" w:space="0" w:color="auto"/>
        <w:bottom w:val="none" w:sz="0" w:space="0" w:color="auto"/>
        <w:right w:val="none" w:sz="0" w:space="0" w:color="auto"/>
      </w:divBdr>
    </w:div>
    <w:div w:id="209095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SUS%2014\Desktop\B&#252;ltenler\Konya%20&#304;malat%20Sanayi%20G&#252;ven%20Endeksi\2016\Nisan\Konya_&#304;malat_Sanayi_G&#252;ven_Endeksi_Anketi_Tanim_ve_Sonuclari_2016_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71478737063573E-2"/>
          <c:y val="0.26745128344368096"/>
          <c:w val="0.88737512045303135"/>
          <c:h val="0.58702870326262557"/>
        </c:manualLayout>
      </c:layout>
      <c:lineChart>
        <c:grouping val="standard"/>
        <c:varyColors val="0"/>
        <c:ser>
          <c:idx val="0"/>
          <c:order val="0"/>
          <c:tx>
            <c:strRef>
              <c:f>'İmalat Sanayi Güven Endeksi'!$A$2</c:f>
              <c:strCache>
                <c:ptCount val="1"/>
                <c:pt idx="0">
                  <c:v>Konya (Konya SO)</c:v>
                </c:pt>
              </c:strCache>
            </c:strRef>
          </c:tx>
          <c:spPr>
            <a:ln w="44450">
              <a:solidFill>
                <a:srgbClr val="92D050"/>
              </a:solidFill>
            </a:ln>
          </c:spPr>
          <c:marker>
            <c:symbol val="none"/>
          </c:marker>
          <c:cat>
            <c:numRef>
              <c:f>'İmalat Sanayi Güven Endeksi'!$AO$1:$BA$1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'İmalat Sanayi Güven Endeksi'!$AO$2:$BA$2</c:f>
              <c:numCache>
                <c:formatCode>#,#00</c:formatCode>
                <c:ptCount val="13"/>
                <c:pt idx="0">
                  <c:v>14.3</c:v>
                </c:pt>
                <c:pt idx="1">
                  <c:v>16.3</c:v>
                </c:pt>
                <c:pt idx="2">
                  <c:v>-5.5</c:v>
                </c:pt>
                <c:pt idx="3">
                  <c:v>0</c:v>
                </c:pt>
                <c:pt idx="4">
                  <c:v>3.3</c:v>
                </c:pt>
                <c:pt idx="5">
                  <c:v>-4.2</c:v>
                </c:pt>
                <c:pt idx="6" formatCode="General">
                  <c:v>0.8</c:v>
                </c:pt>
                <c:pt idx="7" formatCode="General">
                  <c:v>12.9</c:v>
                </c:pt>
                <c:pt idx="8">
                  <c:v>11</c:v>
                </c:pt>
                <c:pt idx="9">
                  <c:v>-5.3</c:v>
                </c:pt>
                <c:pt idx="10">
                  <c:v>7.8</c:v>
                </c:pt>
                <c:pt idx="11">
                  <c:v>13.7</c:v>
                </c:pt>
                <c:pt idx="12">
                  <c:v>11.7</c:v>
                </c:pt>
              </c:numCache>
            </c:numRef>
          </c:val>
          <c:smooth val="0"/>
        </c:ser>
        <c:ser>
          <c:idx val="2"/>
          <c:order val="1"/>
          <c:tx>
            <c:strRef>
              <c:f>'İmalat Sanayi Güven Endeksi'!$A$3</c:f>
              <c:strCache>
                <c:ptCount val="1"/>
                <c:pt idx="0">
                  <c:v>Türkiye (TCMB)</c:v>
                </c:pt>
              </c:strCache>
            </c:strRef>
          </c:tx>
          <c:spPr>
            <a:ln w="44450" cap="rnd">
              <a:solidFill>
                <a:srgbClr val="FF0000"/>
              </a:solidFill>
              <a:prstDash val="solid"/>
              <a:headEnd type="none"/>
              <a:tailEnd type="none" w="sm" len="sm"/>
            </a:ln>
          </c:spPr>
          <c:marker>
            <c:symbol val="none"/>
          </c:marker>
          <c:cat>
            <c:numRef>
              <c:f>'İmalat Sanayi Güven Endeksi'!$AO$1:$BA$1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'İmalat Sanayi Güven Endeksi'!$AO$3:$BA$3</c:f>
              <c:numCache>
                <c:formatCode>#,#00</c:formatCode>
                <c:ptCount val="13"/>
                <c:pt idx="0">
                  <c:v>6.2</c:v>
                </c:pt>
                <c:pt idx="1">
                  <c:v>5.5</c:v>
                </c:pt>
                <c:pt idx="2">
                  <c:v>1.6</c:v>
                </c:pt>
                <c:pt idx="3">
                  <c:v>0.6</c:v>
                </c:pt>
                <c:pt idx="4">
                  <c:v>0.7</c:v>
                </c:pt>
                <c:pt idx="5">
                  <c:v>-2.1</c:v>
                </c:pt>
                <c:pt idx="6">
                  <c:v>-1.7</c:v>
                </c:pt>
                <c:pt idx="7" formatCode="General">
                  <c:v>-0.3</c:v>
                </c:pt>
                <c:pt idx="8">
                  <c:v>-2.4</c:v>
                </c:pt>
                <c:pt idx="9">
                  <c:v>0.4</c:v>
                </c:pt>
                <c:pt idx="10">
                  <c:v>3.7</c:v>
                </c:pt>
                <c:pt idx="11">
                  <c:v>4.5999999999999996</c:v>
                </c:pt>
                <c:pt idx="12">
                  <c:v>5.5</c:v>
                </c:pt>
              </c:numCache>
            </c:numRef>
          </c:val>
          <c:smooth val="0"/>
        </c:ser>
        <c:ser>
          <c:idx val="3"/>
          <c:order val="2"/>
          <c:tx>
            <c:strRef>
              <c:f>'İmalat Sanayi Güven Endeksi'!$A$4</c:f>
              <c:strCache>
                <c:ptCount val="1"/>
                <c:pt idx="0">
                  <c:v>AB-28</c:v>
                </c:pt>
              </c:strCache>
            </c:strRef>
          </c:tx>
          <c:spPr>
            <a:ln w="44450">
              <a:solidFill>
                <a:schemeClr val="accent1"/>
              </a:solidFill>
            </a:ln>
          </c:spPr>
          <c:marker>
            <c:symbol val="none"/>
          </c:marker>
          <c:cat>
            <c:numRef>
              <c:f>'İmalat Sanayi Güven Endeksi'!$AO$1:$BA$1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'İmalat Sanayi Güven Endeksi'!$AO$4:$BA$4</c:f>
              <c:numCache>
                <c:formatCode>#.##00</c:formatCode>
                <c:ptCount val="13"/>
                <c:pt idx="0">
                  <c:v>-0.1</c:v>
                </c:pt>
                <c:pt idx="1">
                  <c:v>-0.8</c:v>
                </c:pt>
                <c:pt idx="2">
                  <c:v>-2.6</c:v>
                </c:pt>
                <c:pt idx="3">
                  <c:v>-3.2</c:v>
                </c:pt>
                <c:pt idx="4">
                  <c:v>-2.6</c:v>
                </c:pt>
                <c:pt idx="5">
                  <c:v>-2</c:v>
                </c:pt>
                <c:pt idx="6">
                  <c:v>-5</c:v>
                </c:pt>
                <c:pt idx="7">
                  <c:v>-7.5</c:v>
                </c:pt>
                <c:pt idx="8">
                  <c:v>-6.2</c:v>
                </c:pt>
                <c:pt idx="9">
                  <c:v>-3</c:v>
                </c:pt>
                <c:pt idx="10">
                  <c:v>-1.8</c:v>
                </c:pt>
                <c:pt idx="11">
                  <c:v>-0.6</c:v>
                </c:pt>
                <c:pt idx="12">
                  <c:v>-0.9</c:v>
                </c:pt>
              </c:numCache>
            </c:numRef>
          </c:val>
          <c:smooth val="0"/>
        </c:ser>
        <c:dLbls>
          <c:showLegendKey val="0"/>
          <c:showVal val="0"/>
          <c:showCatName val="0"/>
          <c:showSerName val="0"/>
          <c:showPercent val="0"/>
          <c:showBubbleSize val="0"/>
        </c:dLbls>
        <c:smooth val="0"/>
        <c:axId val="463942136"/>
        <c:axId val="463938608"/>
      </c:lineChart>
      <c:dateAx>
        <c:axId val="463942136"/>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b="1" i="0" baseline="0"/>
            </a:pPr>
            <a:endParaRPr lang="tr-TR"/>
          </a:p>
        </c:txPr>
        <c:crossAx val="463938608"/>
        <c:crosses val="autoZero"/>
        <c:auto val="1"/>
        <c:lblOffset val="100"/>
        <c:baseTimeUnit val="months"/>
      </c:dateAx>
      <c:valAx>
        <c:axId val="463938608"/>
        <c:scaling>
          <c:orientation val="minMax"/>
        </c:scaling>
        <c:delete val="0"/>
        <c:axPos val="l"/>
        <c:majorGridlines>
          <c:spPr>
            <a:ln w="3175">
              <a:prstDash val="dash"/>
            </a:ln>
          </c:spPr>
        </c:majorGridlines>
        <c:numFmt formatCode="#,#00" sourceLinked="1"/>
        <c:majorTickMark val="out"/>
        <c:minorTickMark val="none"/>
        <c:tickLblPos val="nextTo"/>
        <c:spPr>
          <a:ln w="19050">
            <a:solidFill>
              <a:sysClr val="windowText" lastClr="000000"/>
            </a:solidFill>
          </a:ln>
        </c:spPr>
        <c:txPr>
          <a:bodyPr/>
          <a:lstStyle/>
          <a:p>
            <a:pPr>
              <a:defRPr b="1" i="0" baseline="0"/>
            </a:pPr>
            <a:endParaRPr lang="tr-TR"/>
          </a:p>
        </c:txPr>
        <c:crossAx val="463942136"/>
        <c:crosses val="autoZero"/>
        <c:crossBetween val="between"/>
      </c:valAx>
    </c:plotArea>
    <c:legend>
      <c:legendPos val="b"/>
      <c:layout>
        <c:manualLayout>
          <c:xMode val="edge"/>
          <c:yMode val="edge"/>
          <c:x val="5.5824715899583724E-3"/>
          <c:y val="0.8963273340832395"/>
          <c:w val="0.99139759896876756"/>
          <c:h val="8.6109111361079863E-2"/>
        </c:manualLayout>
      </c:layout>
      <c:overlay val="0"/>
      <c:txPr>
        <a:bodyPr/>
        <a:lstStyle/>
        <a:p>
          <a:pPr>
            <a:defRPr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5621775575215034"/>
          <c:y val="6.9841269841269843E-2"/>
          <c:w val="0.50554633926184656"/>
          <c:h val="0.58749032061600037"/>
        </c:manualLayout>
      </c:layout>
      <c:barChart>
        <c:barDir val="bar"/>
        <c:grouping val="percentStacked"/>
        <c:varyColors val="0"/>
        <c:ser>
          <c:idx val="0"/>
          <c:order val="0"/>
          <c:tx>
            <c:strRef>
              <c:f>Sayfa1!$C$34</c:f>
              <c:strCache>
                <c:ptCount val="1"/>
                <c:pt idx="0">
                  <c:v>Artacak</c:v>
                </c:pt>
              </c:strCache>
            </c:strRef>
          </c:tx>
          <c:spPr>
            <a:solidFill>
              <a:srgbClr val="92D05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Sayfa1!$B$35:$B$36</c:f>
              <c:strCache>
                <c:ptCount val="2"/>
                <c:pt idx="0">
                  <c:v>Önümüzdeki 12 ayda, sabit sermaye yatırım harcaması</c:v>
                </c:pt>
                <c:pt idx="1">
                  <c:v>Önümüzdeki 3 ayda firmanın istihdam düzeyi</c:v>
                </c:pt>
              </c:strCache>
            </c:strRef>
          </c:cat>
          <c:val>
            <c:numRef>
              <c:f>Sayfa1!$C$35:$C$36</c:f>
              <c:numCache>
                <c:formatCode>#,#00</c:formatCode>
                <c:ptCount val="2"/>
                <c:pt idx="0">
                  <c:v>6.3333299999999992</c:v>
                </c:pt>
                <c:pt idx="1">
                  <c:v>28.66667</c:v>
                </c:pt>
              </c:numCache>
            </c:numRef>
          </c:val>
        </c:ser>
        <c:ser>
          <c:idx val="1"/>
          <c:order val="1"/>
          <c:tx>
            <c:strRef>
              <c:f>Sayfa1!$D$34</c:f>
              <c:strCache>
                <c:ptCount val="1"/>
                <c:pt idx="0">
                  <c:v>Aynı kalacak</c:v>
                </c:pt>
              </c:strCache>
            </c:strRef>
          </c:tx>
          <c:spPr>
            <a:solidFill>
              <a:srgbClr val="0070C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Sayfa1!$B$35:$B$36</c:f>
              <c:strCache>
                <c:ptCount val="2"/>
                <c:pt idx="0">
                  <c:v>Önümüzdeki 12 ayda, sabit sermaye yatırım harcaması</c:v>
                </c:pt>
                <c:pt idx="1">
                  <c:v>Önümüzdeki 3 ayda firmanın istihdam düzeyi</c:v>
                </c:pt>
              </c:strCache>
            </c:strRef>
          </c:cat>
          <c:val>
            <c:numRef>
              <c:f>Sayfa1!$D$35:$D$36</c:f>
              <c:numCache>
                <c:formatCode>#,#00</c:formatCode>
                <c:ptCount val="2"/>
                <c:pt idx="0">
                  <c:v>89</c:v>
                </c:pt>
                <c:pt idx="1">
                  <c:v>66.333330000000004</c:v>
                </c:pt>
              </c:numCache>
            </c:numRef>
          </c:val>
        </c:ser>
        <c:ser>
          <c:idx val="2"/>
          <c:order val="2"/>
          <c:tx>
            <c:strRef>
              <c:f>Sayfa1!$E$34</c:f>
              <c:strCache>
                <c:ptCount val="1"/>
                <c:pt idx="0">
                  <c:v>Azalacak</c:v>
                </c:pt>
              </c:strCache>
            </c:strRef>
          </c:tx>
          <c:spPr>
            <a:solidFill>
              <a:srgbClr val="FF000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Sayfa1!$B$35:$B$36</c:f>
              <c:strCache>
                <c:ptCount val="2"/>
                <c:pt idx="0">
                  <c:v>Önümüzdeki 12 ayda, sabit sermaye yatırım harcaması</c:v>
                </c:pt>
                <c:pt idx="1">
                  <c:v>Önümüzdeki 3 ayda firmanın istihdam düzeyi</c:v>
                </c:pt>
              </c:strCache>
            </c:strRef>
          </c:cat>
          <c:val>
            <c:numRef>
              <c:f>Sayfa1!$E$35:$E$36</c:f>
              <c:numCache>
                <c:formatCode>#,#00</c:formatCode>
                <c:ptCount val="2"/>
                <c:pt idx="0">
                  <c:v>4.6666699999999999</c:v>
                </c:pt>
                <c:pt idx="1">
                  <c:v>5</c:v>
                </c:pt>
              </c:numCache>
            </c:numRef>
          </c:val>
        </c:ser>
        <c:dLbls>
          <c:showLegendKey val="0"/>
          <c:showVal val="0"/>
          <c:showCatName val="0"/>
          <c:showSerName val="0"/>
          <c:showPercent val="0"/>
          <c:showBubbleSize val="0"/>
        </c:dLbls>
        <c:gapWidth val="150"/>
        <c:overlap val="100"/>
        <c:axId val="461210360"/>
        <c:axId val="461210752"/>
      </c:barChart>
      <c:catAx>
        <c:axId val="461210360"/>
        <c:scaling>
          <c:orientation val="minMax"/>
        </c:scaling>
        <c:delete val="0"/>
        <c:axPos val="l"/>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461210752"/>
        <c:crosses val="autoZero"/>
        <c:auto val="1"/>
        <c:lblAlgn val="ctr"/>
        <c:lblOffset val="100"/>
        <c:noMultiLvlLbl val="0"/>
      </c:catAx>
      <c:valAx>
        <c:axId val="461210752"/>
        <c:scaling>
          <c:orientation val="minMax"/>
        </c:scaling>
        <c:delete val="0"/>
        <c:axPos val="b"/>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461210360"/>
        <c:crosses val="autoZero"/>
        <c:crossBetween val="between"/>
      </c:valAx>
    </c:plotArea>
    <c:legend>
      <c:legendPos val="b"/>
      <c:layout>
        <c:manualLayout>
          <c:xMode val="edge"/>
          <c:yMode val="edge"/>
          <c:x val="0.20177513703942432"/>
          <c:y val="0.86350197937964934"/>
          <c:w val="0.40891739951537781"/>
          <c:h val="0.13320746508896344"/>
        </c:manualLayout>
      </c:layout>
      <c:overlay val="0"/>
      <c:txPr>
        <a:bodyPr/>
        <a:lstStyle/>
        <a:p>
          <a:pPr>
            <a:defRPr sz="1000"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951557093425642E-2"/>
          <c:y val="0.25819448725492988"/>
          <c:w val="0.9020362424756786"/>
          <c:h val="0.58702870326262557"/>
        </c:manualLayout>
      </c:layout>
      <c:lineChart>
        <c:grouping val="standard"/>
        <c:varyColors val="0"/>
        <c:ser>
          <c:idx val="0"/>
          <c:order val="0"/>
          <c:tx>
            <c:strRef>
              <c:f>Soru_7!$A$2</c:f>
              <c:strCache>
                <c:ptCount val="1"/>
                <c:pt idx="0">
                  <c:v>Konya (Konya SO)</c:v>
                </c:pt>
              </c:strCache>
            </c:strRef>
          </c:tx>
          <c:spPr>
            <a:ln w="44450">
              <a:solidFill>
                <a:srgbClr val="92D050"/>
              </a:solidFill>
            </a:ln>
          </c:spPr>
          <c:marker>
            <c:symbol val="none"/>
          </c:marker>
          <c:cat>
            <c:numRef>
              <c:f>Soru_7!$AO$1:$BA$1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Soru_7!$AO$2:$BA$2</c:f>
              <c:numCache>
                <c:formatCode>#,#00</c:formatCode>
                <c:ptCount val="13"/>
                <c:pt idx="0">
                  <c:v>28.3</c:v>
                </c:pt>
                <c:pt idx="1">
                  <c:v>21.7</c:v>
                </c:pt>
                <c:pt idx="2">
                  <c:v>0</c:v>
                </c:pt>
                <c:pt idx="3">
                  <c:v>8.6999999999999993</c:v>
                </c:pt>
                <c:pt idx="4">
                  <c:v>12.3</c:v>
                </c:pt>
                <c:pt idx="5">
                  <c:v>1.7</c:v>
                </c:pt>
                <c:pt idx="6">
                  <c:v>4.3</c:v>
                </c:pt>
                <c:pt idx="7">
                  <c:v>20.7</c:v>
                </c:pt>
                <c:pt idx="8">
                  <c:v>15.3</c:v>
                </c:pt>
                <c:pt idx="9">
                  <c:v>17</c:v>
                </c:pt>
                <c:pt idx="10">
                  <c:v>16.3</c:v>
                </c:pt>
                <c:pt idx="11">
                  <c:v>22.7</c:v>
                </c:pt>
                <c:pt idx="12">
                  <c:v>23.7</c:v>
                </c:pt>
              </c:numCache>
            </c:numRef>
          </c:val>
          <c:smooth val="0"/>
        </c:ser>
        <c:ser>
          <c:idx val="2"/>
          <c:order val="1"/>
          <c:tx>
            <c:strRef>
              <c:f>Soru_7!$A$3</c:f>
              <c:strCache>
                <c:ptCount val="1"/>
                <c:pt idx="0">
                  <c:v>Türkiye (TCMB)</c:v>
                </c:pt>
              </c:strCache>
            </c:strRef>
          </c:tx>
          <c:spPr>
            <a:ln w="44450" cap="rnd">
              <a:solidFill>
                <a:srgbClr val="FF0000"/>
              </a:solidFill>
              <a:prstDash val="solid"/>
              <a:headEnd type="none"/>
              <a:tailEnd type="none" w="sm" len="sm"/>
            </a:ln>
          </c:spPr>
          <c:marker>
            <c:symbol val="none"/>
          </c:marker>
          <c:cat>
            <c:numRef>
              <c:f>Soru_7!$AO$1:$BA$1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Soru_7!$AO$3:$BA$3</c:f>
              <c:numCache>
                <c:formatCode>#,#00</c:formatCode>
                <c:ptCount val="13"/>
                <c:pt idx="0">
                  <c:v>16.5</c:v>
                </c:pt>
                <c:pt idx="1">
                  <c:v>14.1</c:v>
                </c:pt>
                <c:pt idx="2">
                  <c:v>9.8000000000000007</c:v>
                </c:pt>
                <c:pt idx="3">
                  <c:v>7</c:v>
                </c:pt>
                <c:pt idx="4">
                  <c:v>8.9</c:v>
                </c:pt>
                <c:pt idx="5">
                  <c:v>6.4</c:v>
                </c:pt>
                <c:pt idx="6">
                  <c:v>4.3</c:v>
                </c:pt>
                <c:pt idx="7">
                  <c:v>6.5</c:v>
                </c:pt>
                <c:pt idx="8">
                  <c:v>3.6</c:v>
                </c:pt>
                <c:pt idx="9">
                  <c:v>6.2</c:v>
                </c:pt>
                <c:pt idx="10">
                  <c:v>7.3</c:v>
                </c:pt>
                <c:pt idx="11">
                  <c:v>10.199999999999999</c:v>
                </c:pt>
                <c:pt idx="12">
                  <c:v>15.6</c:v>
                </c:pt>
              </c:numCache>
            </c:numRef>
          </c:val>
          <c:smooth val="0"/>
        </c:ser>
        <c:ser>
          <c:idx val="3"/>
          <c:order val="2"/>
          <c:tx>
            <c:strRef>
              <c:f>Soru_7!$A$4</c:f>
              <c:strCache>
                <c:ptCount val="1"/>
                <c:pt idx="0">
                  <c:v>AB-28</c:v>
                </c:pt>
              </c:strCache>
            </c:strRef>
          </c:tx>
          <c:spPr>
            <a:ln w="44450">
              <a:solidFill>
                <a:schemeClr val="accent1"/>
              </a:solidFill>
            </a:ln>
          </c:spPr>
          <c:marker>
            <c:symbol val="none"/>
          </c:marker>
          <c:cat>
            <c:numRef>
              <c:f>Soru_7!$AO$1:$BA$1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Soru_7!$AO$4:$BA$4</c:f>
              <c:numCache>
                <c:formatCode>#.##00</c:formatCode>
                <c:ptCount val="13"/>
                <c:pt idx="0">
                  <c:v>0.9</c:v>
                </c:pt>
                <c:pt idx="1">
                  <c:v>2.2000000000000002</c:v>
                </c:pt>
                <c:pt idx="2">
                  <c:v>1.3</c:v>
                </c:pt>
                <c:pt idx="3">
                  <c:v>-0.2</c:v>
                </c:pt>
                <c:pt idx="4">
                  <c:v>-1.1000000000000001</c:v>
                </c:pt>
                <c:pt idx="5">
                  <c:v>-1.9</c:v>
                </c:pt>
                <c:pt idx="6">
                  <c:v>-5.2</c:v>
                </c:pt>
                <c:pt idx="7">
                  <c:v>-5.7</c:v>
                </c:pt>
                <c:pt idx="8">
                  <c:v>-5.5</c:v>
                </c:pt>
                <c:pt idx="9">
                  <c:v>-1.9</c:v>
                </c:pt>
                <c:pt idx="10">
                  <c:v>-1.6</c:v>
                </c:pt>
                <c:pt idx="11">
                  <c:v>0.3</c:v>
                </c:pt>
                <c:pt idx="12">
                  <c:v>0.6</c:v>
                </c:pt>
              </c:numCache>
            </c:numRef>
          </c:val>
          <c:smooth val="0"/>
        </c:ser>
        <c:dLbls>
          <c:showLegendKey val="0"/>
          <c:showVal val="0"/>
          <c:showCatName val="0"/>
          <c:showSerName val="0"/>
          <c:showPercent val="0"/>
          <c:showBubbleSize val="0"/>
        </c:dLbls>
        <c:smooth val="0"/>
        <c:axId val="461204480"/>
        <c:axId val="461197424"/>
      </c:lineChart>
      <c:dateAx>
        <c:axId val="461204480"/>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b="1" i="0" baseline="0"/>
            </a:pPr>
            <a:endParaRPr lang="tr-TR"/>
          </a:p>
        </c:txPr>
        <c:crossAx val="461197424"/>
        <c:crosses val="autoZero"/>
        <c:auto val="1"/>
        <c:lblOffset val="100"/>
        <c:baseTimeUnit val="months"/>
      </c:dateAx>
      <c:valAx>
        <c:axId val="461197424"/>
        <c:scaling>
          <c:orientation val="minMax"/>
        </c:scaling>
        <c:delete val="0"/>
        <c:axPos val="l"/>
        <c:majorGridlines>
          <c:spPr>
            <a:ln w="3175">
              <a:prstDash val="dash"/>
            </a:ln>
          </c:spPr>
        </c:majorGridlines>
        <c:numFmt formatCode="#,#00" sourceLinked="1"/>
        <c:majorTickMark val="out"/>
        <c:minorTickMark val="none"/>
        <c:tickLblPos val="nextTo"/>
        <c:spPr>
          <a:ln w="19050">
            <a:solidFill>
              <a:sysClr val="windowText" lastClr="000000"/>
            </a:solidFill>
          </a:ln>
        </c:spPr>
        <c:txPr>
          <a:bodyPr/>
          <a:lstStyle/>
          <a:p>
            <a:pPr>
              <a:defRPr b="1" i="0" baseline="0"/>
            </a:pPr>
            <a:endParaRPr lang="tr-TR"/>
          </a:p>
        </c:txPr>
        <c:crossAx val="461204480"/>
        <c:crosses val="autoZero"/>
        <c:crossBetween val="between"/>
      </c:valAx>
    </c:plotArea>
    <c:legend>
      <c:legendPos val="b"/>
      <c:layout>
        <c:manualLayout>
          <c:xMode val="edge"/>
          <c:yMode val="edge"/>
          <c:x val="5.5824715899583724E-3"/>
          <c:y val="0.8963273340832395"/>
          <c:w val="0.99139759896876756"/>
          <c:h val="8.6109111361079863E-2"/>
        </c:manualLayout>
      </c:layout>
      <c:overlay val="0"/>
      <c:txPr>
        <a:bodyPr/>
        <a:lstStyle/>
        <a:p>
          <a:pPr>
            <a:defRPr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995723406026682"/>
          <c:y val="6.4046579330422154E-2"/>
          <c:w val="0.52180686095373308"/>
          <c:h val="0.70207154236724778"/>
        </c:manualLayout>
      </c:layout>
      <c:barChart>
        <c:barDir val="bar"/>
        <c:grouping val="percentStacked"/>
        <c:varyColors val="0"/>
        <c:ser>
          <c:idx val="0"/>
          <c:order val="0"/>
          <c:tx>
            <c:strRef>
              <c:f>Sayfa1!$C$46</c:f>
              <c:strCache>
                <c:ptCount val="1"/>
                <c:pt idx="0">
                  <c:v>Arttı/Artacak</c:v>
                </c:pt>
              </c:strCache>
            </c:strRef>
          </c:tx>
          <c:spPr>
            <a:solidFill>
              <a:srgbClr val="92D05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Sayfa1!$B$47:$B$50</c:f>
              <c:strCache>
                <c:ptCount val="4"/>
                <c:pt idx="0">
                  <c:v>Önümüzdeki 3 ayda satış fiyatları</c:v>
                </c:pt>
                <c:pt idx="1">
                  <c:v>Önümüzdeki 3 ayda iç piyasa satış fiyatları</c:v>
                </c:pt>
                <c:pt idx="2">
                  <c:v>Önümüzde 3 ayda ortalama birim maliyet</c:v>
                </c:pt>
                <c:pt idx="3">
                  <c:v>Geçtiğimiz 3 aya göre ortalama birim maliyet</c:v>
                </c:pt>
              </c:strCache>
            </c:strRef>
          </c:cat>
          <c:val>
            <c:numRef>
              <c:f>Sayfa1!$C$47:$C$50</c:f>
              <c:numCache>
                <c:formatCode>#,#00</c:formatCode>
                <c:ptCount val="4"/>
                <c:pt idx="0">
                  <c:v>24</c:v>
                </c:pt>
                <c:pt idx="1">
                  <c:v>24</c:v>
                </c:pt>
                <c:pt idx="2">
                  <c:v>62.333329999999997</c:v>
                </c:pt>
                <c:pt idx="3">
                  <c:v>85</c:v>
                </c:pt>
              </c:numCache>
            </c:numRef>
          </c:val>
        </c:ser>
        <c:ser>
          <c:idx val="1"/>
          <c:order val="1"/>
          <c:tx>
            <c:strRef>
              <c:f>Sayfa1!$D$46</c:f>
              <c:strCache>
                <c:ptCount val="1"/>
                <c:pt idx="0">
                  <c:v>Aynı kaldı/Aynı kalacak</c:v>
                </c:pt>
              </c:strCache>
            </c:strRef>
          </c:tx>
          <c:spPr>
            <a:solidFill>
              <a:srgbClr val="0070C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Sayfa1!$B$47:$B$50</c:f>
              <c:strCache>
                <c:ptCount val="4"/>
                <c:pt idx="0">
                  <c:v>Önümüzdeki 3 ayda satış fiyatları</c:v>
                </c:pt>
                <c:pt idx="1">
                  <c:v>Önümüzdeki 3 ayda iç piyasa satış fiyatları</c:v>
                </c:pt>
                <c:pt idx="2">
                  <c:v>Önümüzde 3 ayda ortalama birim maliyet</c:v>
                </c:pt>
                <c:pt idx="3">
                  <c:v>Geçtiğimiz 3 aya göre ortalama birim maliyet</c:v>
                </c:pt>
              </c:strCache>
            </c:strRef>
          </c:cat>
          <c:val>
            <c:numRef>
              <c:f>Sayfa1!$D$47:$D$50</c:f>
              <c:numCache>
                <c:formatCode>#,#00</c:formatCode>
                <c:ptCount val="4"/>
                <c:pt idx="0">
                  <c:v>68</c:v>
                </c:pt>
                <c:pt idx="1">
                  <c:v>67.666669999999996</c:v>
                </c:pt>
                <c:pt idx="2">
                  <c:v>37.666670000000003</c:v>
                </c:pt>
                <c:pt idx="3">
                  <c:v>13.333329999999998</c:v>
                </c:pt>
              </c:numCache>
            </c:numRef>
          </c:val>
        </c:ser>
        <c:ser>
          <c:idx val="2"/>
          <c:order val="2"/>
          <c:tx>
            <c:strRef>
              <c:f>Sayfa1!$E$46</c:f>
              <c:strCache>
                <c:ptCount val="1"/>
                <c:pt idx="0">
                  <c:v>Azaldı/Azalacak</c:v>
                </c:pt>
              </c:strCache>
            </c:strRef>
          </c:tx>
          <c:spPr>
            <a:solidFill>
              <a:srgbClr val="FF0000"/>
            </a:solidFill>
          </c:spPr>
          <c:invertIfNegative val="0"/>
          <c:dLbls>
            <c:dLbl>
              <c:idx val="2"/>
              <c:delete val="1"/>
              <c:extLst>
                <c:ext xmlns:c15="http://schemas.microsoft.com/office/drawing/2012/chart" uri="{CE6537A1-D6FC-4f65-9D91-7224C49458BB}"/>
              </c:extLst>
            </c:dLbl>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Sayfa1!$B$47:$B$50</c:f>
              <c:strCache>
                <c:ptCount val="4"/>
                <c:pt idx="0">
                  <c:v>Önümüzdeki 3 ayda satış fiyatları</c:v>
                </c:pt>
                <c:pt idx="1">
                  <c:v>Önümüzdeki 3 ayda iç piyasa satış fiyatları</c:v>
                </c:pt>
                <c:pt idx="2">
                  <c:v>Önümüzde 3 ayda ortalama birim maliyet</c:v>
                </c:pt>
                <c:pt idx="3">
                  <c:v>Geçtiğimiz 3 aya göre ortalama birim maliyet</c:v>
                </c:pt>
              </c:strCache>
            </c:strRef>
          </c:cat>
          <c:val>
            <c:numRef>
              <c:f>Sayfa1!$E$47:$E$50</c:f>
              <c:numCache>
                <c:formatCode>#,#00</c:formatCode>
                <c:ptCount val="4"/>
                <c:pt idx="0">
                  <c:v>8</c:v>
                </c:pt>
                <c:pt idx="1">
                  <c:v>8.3333300000000001</c:v>
                </c:pt>
                <c:pt idx="2">
                  <c:v>0</c:v>
                </c:pt>
                <c:pt idx="3">
                  <c:v>1.6666699999999999</c:v>
                </c:pt>
              </c:numCache>
            </c:numRef>
          </c:val>
        </c:ser>
        <c:dLbls>
          <c:showLegendKey val="0"/>
          <c:showVal val="0"/>
          <c:showCatName val="0"/>
          <c:showSerName val="0"/>
          <c:showPercent val="0"/>
          <c:showBubbleSize val="0"/>
        </c:dLbls>
        <c:gapWidth val="150"/>
        <c:overlap val="100"/>
        <c:axId val="461197816"/>
        <c:axId val="461209576"/>
      </c:barChart>
      <c:catAx>
        <c:axId val="461197816"/>
        <c:scaling>
          <c:orientation val="minMax"/>
        </c:scaling>
        <c:delete val="0"/>
        <c:axPos val="l"/>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461209576"/>
        <c:crosses val="autoZero"/>
        <c:auto val="1"/>
        <c:lblAlgn val="ctr"/>
        <c:lblOffset val="100"/>
        <c:noMultiLvlLbl val="0"/>
      </c:catAx>
      <c:valAx>
        <c:axId val="461209576"/>
        <c:scaling>
          <c:orientation val="minMax"/>
        </c:scaling>
        <c:delete val="0"/>
        <c:axPos val="b"/>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461197816"/>
        <c:crosses val="autoZero"/>
        <c:crossBetween val="between"/>
      </c:valAx>
    </c:plotArea>
    <c:legend>
      <c:legendPos val="b"/>
      <c:layout>
        <c:manualLayout>
          <c:xMode val="edge"/>
          <c:yMode val="edge"/>
          <c:x val="0.16463642378592491"/>
          <c:y val="0.89471375030086309"/>
          <c:w val="0.67072697715790563"/>
          <c:h val="0.10528624969913702"/>
        </c:manualLayout>
      </c:layout>
      <c:overlay val="0"/>
      <c:txPr>
        <a:bodyPr/>
        <a:lstStyle/>
        <a:p>
          <a:pPr>
            <a:defRPr sz="1000"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951557093425642E-2"/>
          <c:y val="0.27893175074183979"/>
          <c:w val="0.908072181055953"/>
          <c:h val="0.55029857843332464"/>
        </c:manualLayout>
      </c:layout>
      <c:lineChart>
        <c:grouping val="standard"/>
        <c:varyColors val="0"/>
        <c:ser>
          <c:idx val="0"/>
          <c:order val="0"/>
          <c:tx>
            <c:strRef>
              <c:f>Soru_28!$A$2</c:f>
              <c:strCache>
                <c:ptCount val="1"/>
                <c:pt idx="0">
                  <c:v>Konya (Konya SO)</c:v>
                </c:pt>
              </c:strCache>
            </c:strRef>
          </c:tx>
          <c:spPr>
            <a:ln w="44450">
              <a:solidFill>
                <a:srgbClr val="92D050"/>
              </a:solidFill>
            </a:ln>
          </c:spPr>
          <c:marker>
            <c:symbol val="none"/>
          </c:marker>
          <c:cat>
            <c:numRef>
              <c:f>Soru_28!$AO$1:$BA$1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Soru_28!$AO$2:$BA$2</c:f>
              <c:numCache>
                <c:formatCode>#,#00</c:formatCode>
                <c:ptCount val="13"/>
                <c:pt idx="0">
                  <c:v>10.3</c:v>
                </c:pt>
                <c:pt idx="1">
                  <c:v>-12</c:v>
                </c:pt>
                <c:pt idx="2">
                  <c:v>-61.3</c:v>
                </c:pt>
                <c:pt idx="3">
                  <c:v>-42.7</c:v>
                </c:pt>
                <c:pt idx="4">
                  <c:v>-38</c:v>
                </c:pt>
                <c:pt idx="5">
                  <c:v>-33.299999999999997</c:v>
                </c:pt>
                <c:pt idx="6">
                  <c:v>-32.299999999999997</c:v>
                </c:pt>
                <c:pt idx="7">
                  <c:v>54.7</c:v>
                </c:pt>
                <c:pt idx="8">
                  <c:v>35.700000000000003</c:v>
                </c:pt>
                <c:pt idx="9">
                  <c:v>16.3</c:v>
                </c:pt>
                <c:pt idx="10">
                  <c:v>-0.3</c:v>
                </c:pt>
                <c:pt idx="11">
                  <c:v>6.3</c:v>
                </c:pt>
                <c:pt idx="12">
                  <c:v>11.3</c:v>
                </c:pt>
              </c:numCache>
            </c:numRef>
          </c:val>
          <c:smooth val="0"/>
        </c:ser>
        <c:ser>
          <c:idx val="2"/>
          <c:order val="1"/>
          <c:tx>
            <c:strRef>
              <c:f>Soru_28!$A$3</c:f>
              <c:strCache>
                <c:ptCount val="1"/>
                <c:pt idx="0">
                  <c:v>Türkiye (TCMB)</c:v>
                </c:pt>
              </c:strCache>
            </c:strRef>
          </c:tx>
          <c:spPr>
            <a:ln w="44450" cap="rnd">
              <a:solidFill>
                <a:srgbClr val="FF0000"/>
              </a:solidFill>
              <a:prstDash val="solid"/>
              <a:headEnd type="none"/>
              <a:tailEnd type="none" w="sm" len="sm"/>
            </a:ln>
          </c:spPr>
          <c:marker>
            <c:symbol val="none"/>
          </c:marker>
          <c:cat>
            <c:numRef>
              <c:f>Soru_28!$AO$1:$BA$1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Soru_28!$AO$3:$BA$3</c:f>
              <c:numCache>
                <c:formatCode>#,#00</c:formatCode>
                <c:ptCount val="13"/>
                <c:pt idx="0">
                  <c:v>-9.3000000000000007</c:v>
                </c:pt>
                <c:pt idx="1">
                  <c:v>-1.2</c:v>
                </c:pt>
                <c:pt idx="2">
                  <c:v>-14.6</c:v>
                </c:pt>
                <c:pt idx="3">
                  <c:v>-5.4</c:v>
                </c:pt>
                <c:pt idx="4">
                  <c:v>-19.3</c:v>
                </c:pt>
                <c:pt idx="5">
                  <c:v>-26.4</c:v>
                </c:pt>
                <c:pt idx="6">
                  <c:v>-18.600000000000001</c:v>
                </c:pt>
                <c:pt idx="7">
                  <c:v>9.1999999999999993</c:v>
                </c:pt>
                <c:pt idx="8">
                  <c:v>-4.2</c:v>
                </c:pt>
                <c:pt idx="9">
                  <c:v>-7.3</c:v>
                </c:pt>
                <c:pt idx="10">
                  <c:v>-6.3</c:v>
                </c:pt>
                <c:pt idx="11">
                  <c:v>-3.5</c:v>
                </c:pt>
                <c:pt idx="12">
                  <c:v>0.9</c:v>
                </c:pt>
              </c:numCache>
            </c:numRef>
          </c:val>
          <c:smooth val="0"/>
        </c:ser>
        <c:dLbls>
          <c:showLegendKey val="0"/>
          <c:showVal val="0"/>
          <c:showCatName val="0"/>
          <c:showSerName val="0"/>
          <c:showPercent val="0"/>
          <c:showBubbleSize val="0"/>
        </c:dLbls>
        <c:smooth val="0"/>
        <c:axId val="463933904"/>
        <c:axId val="463942528"/>
      </c:lineChart>
      <c:dateAx>
        <c:axId val="463933904"/>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b="1" i="0" baseline="0"/>
            </a:pPr>
            <a:endParaRPr lang="tr-TR"/>
          </a:p>
        </c:txPr>
        <c:crossAx val="463942528"/>
        <c:crosses val="autoZero"/>
        <c:auto val="1"/>
        <c:lblOffset val="100"/>
        <c:baseTimeUnit val="months"/>
      </c:dateAx>
      <c:valAx>
        <c:axId val="463942528"/>
        <c:scaling>
          <c:orientation val="minMax"/>
        </c:scaling>
        <c:delete val="0"/>
        <c:axPos val="l"/>
        <c:majorGridlines>
          <c:spPr>
            <a:ln w="3175">
              <a:prstDash val="dash"/>
            </a:ln>
          </c:spPr>
        </c:majorGridlines>
        <c:numFmt formatCode="#,#00" sourceLinked="1"/>
        <c:majorTickMark val="out"/>
        <c:minorTickMark val="none"/>
        <c:tickLblPos val="nextTo"/>
        <c:spPr>
          <a:ln w="19050">
            <a:solidFill>
              <a:sysClr val="windowText" lastClr="000000"/>
            </a:solidFill>
          </a:ln>
        </c:spPr>
        <c:txPr>
          <a:bodyPr/>
          <a:lstStyle/>
          <a:p>
            <a:pPr>
              <a:defRPr b="1" i="0" baseline="0"/>
            </a:pPr>
            <a:endParaRPr lang="tr-TR"/>
          </a:p>
        </c:txPr>
        <c:crossAx val="463933904"/>
        <c:crosses val="autoZero"/>
        <c:crossBetween val="between"/>
      </c:valAx>
    </c:plotArea>
    <c:legend>
      <c:legendPos val="b"/>
      <c:layout>
        <c:manualLayout>
          <c:xMode val="edge"/>
          <c:yMode val="edge"/>
          <c:x val="5.5824715899583724E-3"/>
          <c:y val="0.8963273340832395"/>
          <c:w val="0.99139759896876756"/>
          <c:h val="8.6109111361079863E-2"/>
        </c:manualLayout>
      </c:layout>
      <c:overlay val="0"/>
      <c:txPr>
        <a:bodyPr/>
        <a:lstStyle/>
        <a:p>
          <a:pPr>
            <a:defRPr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2874746588879781"/>
          <c:y val="3.9734569556943863E-2"/>
          <c:w val="0.53791522587454343"/>
          <c:h val="0.8093993807484956"/>
        </c:manualLayout>
      </c:layout>
      <c:barChart>
        <c:barDir val="bar"/>
        <c:grouping val="clustered"/>
        <c:varyColors val="0"/>
        <c:ser>
          <c:idx val="0"/>
          <c:order val="0"/>
          <c:invertIfNegative val="0"/>
          <c:dLbls>
            <c:dLbl>
              <c:idx val="0"/>
              <c:layout>
                <c:manualLayout>
                  <c:x val="-6.6134094349317796E-3"/>
                  <c:y val="-4.288204884444752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6135830243442134E-3"/>
                  <c:y val="-2.3639040465507828E-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638667782331023E-3"/>
                  <c:y val="-2.3601555247804086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6139302031690481E-3"/>
                  <c:y val="-1.1612160228670458E-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4093446652502533E-3"/>
                  <c:y val="3.5538314545985696E-4"/>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409171075837731E-3"/>
                  <c:y val="-4.4062405790767393E-3"/>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4091710758377934E-3"/>
                  <c:y val="-8.4577360434755621E-3"/>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6137566137566134E-3"/>
                  <c:y val="-4.0514954643987014E-3"/>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6.6137566137566134E-3"/>
                  <c:y val="-4.0514954643987014E-3"/>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4091710758377934E-3"/>
                  <c:y val="-8.1029909287973767E-3"/>
                </c:manualLayout>
              </c:layout>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1100"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Soru_5!$B$65:$B$71</c:f>
              <c:strCache>
                <c:ptCount val="7"/>
                <c:pt idx="0">
                  <c:v>Dayanıksız tüketim malları (Gıda ve içecek hariç)</c:v>
                </c:pt>
                <c:pt idx="1">
                  <c:v>Dayanıklı tüketim malları</c:v>
                </c:pt>
                <c:pt idx="2">
                  <c:v>Tüketim malları</c:v>
                </c:pt>
                <c:pt idx="3">
                  <c:v>Dayanıksız tüketim malları</c:v>
                </c:pt>
                <c:pt idx="4">
                  <c:v>Yatırım malları</c:v>
                </c:pt>
                <c:pt idx="5">
                  <c:v>Gıda ve içecek sanayi</c:v>
                </c:pt>
                <c:pt idx="6">
                  <c:v>Ara malları (Madencilik ve taş ocakçılığı hariç)</c:v>
                </c:pt>
              </c:strCache>
            </c:strRef>
          </c:cat>
          <c:val>
            <c:numRef>
              <c:f>Soru_5!$C$65:$C$71</c:f>
              <c:numCache>
                <c:formatCode>#,#00</c:formatCode>
                <c:ptCount val="7"/>
                <c:pt idx="0">
                  <c:v>-15.053766666666672</c:v>
                </c:pt>
                <c:pt idx="1">
                  <c:v>-8.0357166666666657</c:v>
                </c:pt>
                <c:pt idx="2">
                  <c:v>-8.0330366666666695</c:v>
                </c:pt>
                <c:pt idx="3">
                  <c:v>-7.4712666666666676</c:v>
                </c:pt>
                <c:pt idx="4">
                  <c:v>-4.4012166666666683</c:v>
                </c:pt>
                <c:pt idx="5">
                  <c:v>1.2345666666666684</c:v>
                </c:pt>
                <c:pt idx="6">
                  <c:v>2.558003333333339</c:v>
                </c:pt>
              </c:numCache>
            </c:numRef>
          </c:val>
        </c:ser>
        <c:dLbls>
          <c:showLegendKey val="0"/>
          <c:showVal val="0"/>
          <c:showCatName val="0"/>
          <c:showSerName val="0"/>
          <c:showPercent val="0"/>
          <c:showBubbleSize val="0"/>
        </c:dLbls>
        <c:gapWidth val="150"/>
        <c:axId val="463934688"/>
        <c:axId val="463940568"/>
      </c:barChart>
      <c:catAx>
        <c:axId val="463934688"/>
        <c:scaling>
          <c:orientation val="minMax"/>
        </c:scaling>
        <c:delete val="0"/>
        <c:axPos val="l"/>
        <c:numFmt formatCode="General" sourceLinked="1"/>
        <c:majorTickMark val="out"/>
        <c:minorTickMark val="none"/>
        <c:tickLblPos val="low"/>
        <c:spPr>
          <a:ln w="19050">
            <a:solidFill>
              <a:sysClr val="windowText" lastClr="000000"/>
            </a:solidFill>
          </a:ln>
        </c:spPr>
        <c:txPr>
          <a:bodyPr/>
          <a:lstStyle/>
          <a:p>
            <a:pPr>
              <a:defRPr sz="1050" b="1" baseline="0"/>
            </a:pPr>
            <a:endParaRPr lang="tr-TR"/>
          </a:p>
        </c:txPr>
        <c:crossAx val="463940568"/>
        <c:crosses val="autoZero"/>
        <c:auto val="1"/>
        <c:lblAlgn val="ctr"/>
        <c:lblOffset val="75"/>
        <c:noMultiLvlLbl val="0"/>
      </c:catAx>
      <c:valAx>
        <c:axId val="463940568"/>
        <c:scaling>
          <c:orientation val="minMax"/>
          <c:min val="-20"/>
        </c:scaling>
        <c:delete val="0"/>
        <c:axPos val="b"/>
        <c:numFmt formatCode="#,#00" sourceLinked="1"/>
        <c:majorTickMark val="out"/>
        <c:minorTickMark val="none"/>
        <c:tickLblPos val="nextTo"/>
        <c:spPr>
          <a:ln w="19050">
            <a:solidFill>
              <a:schemeClr val="tx1"/>
            </a:solidFill>
          </a:ln>
        </c:spPr>
        <c:txPr>
          <a:bodyPr/>
          <a:lstStyle/>
          <a:p>
            <a:pPr>
              <a:defRPr sz="1100" b="1" i="0" baseline="0"/>
            </a:pPr>
            <a:endParaRPr lang="tr-TR"/>
          </a:p>
        </c:txPr>
        <c:crossAx val="463934688"/>
        <c:crosses val="autoZero"/>
        <c:crossBetween val="between"/>
      </c:valAx>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821811989220804"/>
          <c:y val="6.4046579330422154E-2"/>
          <c:w val="0.65348203548135053"/>
          <c:h val="0.68100860754852"/>
        </c:manualLayout>
      </c:layout>
      <c:barChart>
        <c:barDir val="bar"/>
        <c:grouping val="percentStacked"/>
        <c:varyColors val="0"/>
        <c:ser>
          <c:idx val="0"/>
          <c:order val="0"/>
          <c:tx>
            <c:strRef>
              <c:f>Sayfa1!$C$1</c:f>
              <c:strCache>
                <c:ptCount val="1"/>
                <c:pt idx="0">
                  <c:v>Arttı/Normalin üzerinde/Artacak</c:v>
                </c:pt>
              </c:strCache>
            </c:strRef>
          </c:tx>
          <c:spPr>
            <a:solidFill>
              <a:srgbClr val="92D05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Sayfa1!$B$2:$B$4</c:f>
              <c:strCache>
                <c:ptCount val="3"/>
                <c:pt idx="0">
                  <c:v>Şu andaki mevcut stok düzeyi</c:v>
                </c:pt>
                <c:pt idx="1">
                  <c:v>Önümüzdeki 3 ayda üretim</c:v>
                </c:pt>
                <c:pt idx="2">
                  <c:v>Geçtiğimiz 3 aya göre üretim</c:v>
                </c:pt>
              </c:strCache>
            </c:strRef>
          </c:cat>
          <c:val>
            <c:numRef>
              <c:f>Sayfa1!$C$2:$C$4</c:f>
              <c:numCache>
                <c:formatCode>#,#00</c:formatCode>
                <c:ptCount val="3"/>
                <c:pt idx="0">
                  <c:v>26.33333</c:v>
                </c:pt>
                <c:pt idx="1">
                  <c:v>56.999999999999993</c:v>
                </c:pt>
                <c:pt idx="2">
                  <c:v>12</c:v>
                </c:pt>
              </c:numCache>
            </c:numRef>
          </c:val>
        </c:ser>
        <c:ser>
          <c:idx val="1"/>
          <c:order val="1"/>
          <c:tx>
            <c:strRef>
              <c:f>Sayfa1!$D$1</c:f>
              <c:strCache>
                <c:ptCount val="1"/>
                <c:pt idx="0">
                  <c:v>Aynı kaldı/Normal/Aynı kalacak</c:v>
                </c:pt>
              </c:strCache>
            </c:strRef>
          </c:tx>
          <c:spPr>
            <a:solidFill>
              <a:srgbClr val="0070C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Sayfa1!$B$2:$B$4</c:f>
              <c:strCache>
                <c:ptCount val="3"/>
                <c:pt idx="0">
                  <c:v>Şu andaki mevcut stok düzeyi</c:v>
                </c:pt>
                <c:pt idx="1">
                  <c:v>Önümüzdeki 3 ayda üretim</c:v>
                </c:pt>
                <c:pt idx="2">
                  <c:v>Geçtiğimiz 3 aya göre üretim</c:v>
                </c:pt>
              </c:strCache>
            </c:strRef>
          </c:cat>
          <c:val>
            <c:numRef>
              <c:f>Sayfa1!$D$2:$D$4</c:f>
              <c:numCache>
                <c:formatCode>#,#00</c:formatCode>
                <c:ptCount val="3"/>
                <c:pt idx="0">
                  <c:v>30.66667</c:v>
                </c:pt>
                <c:pt idx="1">
                  <c:v>33</c:v>
                </c:pt>
                <c:pt idx="2">
                  <c:v>30.333329999999997</c:v>
                </c:pt>
              </c:numCache>
            </c:numRef>
          </c:val>
        </c:ser>
        <c:ser>
          <c:idx val="2"/>
          <c:order val="2"/>
          <c:tx>
            <c:strRef>
              <c:f>Sayfa1!$E$1</c:f>
              <c:strCache>
                <c:ptCount val="1"/>
                <c:pt idx="0">
                  <c:v>Azaldı/Normalin altında/Azalacak</c:v>
                </c:pt>
              </c:strCache>
            </c:strRef>
          </c:tx>
          <c:spPr>
            <a:solidFill>
              <a:srgbClr val="FF000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Sayfa1!$B$2:$B$4</c:f>
              <c:strCache>
                <c:ptCount val="3"/>
                <c:pt idx="0">
                  <c:v>Şu andaki mevcut stok düzeyi</c:v>
                </c:pt>
                <c:pt idx="1">
                  <c:v>Önümüzdeki 3 ayda üretim</c:v>
                </c:pt>
                <c:pt idx="2">
                  <c:v>Geçtiğimiz 3 aya göre üretim</c:v>
                </c:pt>
              </c:strCache>
            </c:strRef>
          </c:cat>
          <c:val>
            <c:numRef>
              <c:f>Sayfa1!$E$2:$E$4</c:f>
              <c:numCache>
                <c:formatCode>#,#00</c:formatCode>
                <c:ptCount val="3"/>
                <c:pt idx="0">
                  <c:v>43</c:v>
                </c:pt>
                <c:pt idx="1">
                  <c:v>10</c:v>
                </c:pt>
                <c:pt idx="2">
                  <c:v>57.666669999999996</c:v>
                </c:pt>
              </c:numCache>
            </c:numRef>
          </c:val>
        </c:ser>
        <c:dLbls>
          <c:showLegendKey val="0"/>
          <c:showVal val="0"/>
          <c:showCatName val="0"/>
          <c:showSerName val="0"/>
          <c:showPercent val="0"/>
          <c:showBubbleSize val="0"/>
        </c:dLbls>
        <c:gapWidth val="150"/>
        <c:overlap val="100"/>
        <c:axId val="463935472"/>
        <c:axId val="463935864"/>
      </c:barChart>
      <c:catAx>
        <c:axId val="463935472"/>
        <c:scaling>
          <c:orientation val="minMax"/>
        </c:scaling>
        <c:delete val="0"/>
        <c:axPos val="l"/>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463935864"/>
        <c:crosses val="autoZero"/>
        <c:auto val="1"/>
        <c:lblAlgn val="ctr"/>
        <c:lblOffset val="100"/>
        <c:noMultiLvlLbl val="0"/>
      </c:catAx>
      <c:valAx>
        <c:axId val="463935864"/>
        <c:scaling>
          <c:orientation val="minMax"/>
        </c:scaling>
        <c:delete val="0"/>
        <c:axPos val="b"/>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463935472"/>
        <c:crosses val="autoZero"/>
        <c:crossBetween val="between"/>
      </c:valAx>
    </c:plotArea>
    <c:legend>
      <c:legendPos val="b"/>
      <c:layout>
        <c:manualLayout>
          <c:xMode val="edge"/>
          <c:yMode val="edge"/>
          <c:x val="3.0776253302785319E-4"/>
          <c:y val="0.86180426136689814"/>
          <c:w val="0.99715482053037685"/>
          <c:h val="0.13819573863310755"/>
        </c:manualLayout>
      </c:layout>
      <c:overlay val="0"/>
      <c:txPr>
        <a:bodyPr/>
        <a:lstStyle/>
        <a:p>
          <a:pPr>
            <a:defRPr sz="920"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951557093425642E-2"/>
          <c:y val="0.25819448725492988"/>
          <c:w val="0.90332182945216954"/>
          <c:h val="0.58702870326262557"/>
        </c:manualLayout>
      </c:layout>
      <c:lineChart>
        <c:grouping val="standard"/>
        <c:varyColors val="0"/>
        <c:ser>
          <c:idx val="0"/>
          <c:order val="0"/>
          <c:tx>
            <c:strRef>
              <c:f>Soru_1!$A$2</c:f>
              <c:strCache>
                <c:ptCount val="1"/>
                <c:pt idx="0">
                  <c:v>Konya (Konya SO)</c:v>
                </c:pt>
              </c:strCache>
            </c:strRef>
          </c:tx>
          <c:spPr>
            <a:ln w="44450">
              <a:solidFill>
                <a:srgbClr val="92D050"/>
              </a:solidFill>
            </a:ln>
          </c:spPr>
          <c:marker>
            <c:symbol val="none"/>
          </c:marker>
          <c:cat>
            <c:numRef>
              <c:f>Soru_1!$AO$1:$BA$1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Soru_1!$AO$2:$BA$2</c:f>
              <c:numCache>
                <c:formatCode>#,#00</c:formatCode>
                <c:ptCount val="13"/>
                <c:pt idx="0">
                  <c:v>-23</c:v>
                </c:pt>
                <c:pt idx="1">
                  <c:v>-15.3</c:v>
                </c:pt>
                <c:pt idx="2">
                  <c:v>-23.6</c:v>
                </c:pt>
                <c:pt idx="3">
                  <c:v>-16.3</c:v>
                </c:pt>
                <c:pt idx="4">
                  <c:v>-2.2999999999999998</c:v>
                </c:pt>
                <c:pt idx="5">
                  <c:v>-23.3</c:v>
                </c:pt>
                <c:pt idx="6">
                  <c:v>-19</c:v>
                </c:pt>
                <c:pt idx="7">
                  <c:v>-16.3</c:v>
                </c:pt>
                <c:pt idx="8">
                  <c:v>-2</c:v>
                </c:pt>
                <c:pt idx="9">
                  <c:v>-17.7</c:v>
                </c:pt>
                <c:pt idx="10">
                  <c:v>-35.299999999999997</c:v>
                </c:pt>
                <c:pt idx="11">
                  <c:v>-52.7</c:v>
                </c:pt>
                <c:pt idx="12">
                  <c:v>-45.7</c:v>
                </c:pt>
              </c:numCache>
            </c:numRef>
          </c:val>
          <c:smooth val="0"/>
        </c:ser>
        <c:ser>
          <c:idx val="2"/>
          <c:order val="1"/>
          <c:tx>
            <c:strRef>
              <c:f>Soru_1!$A$3</c:f>
              <c:strCache>
                <c:ptCount val="1"/>
                <c:pt idx="0">
                  <c:v>Türkiye (TCMB)</c:v>
                </c:pt>
              </c:strCache>
            </c:strRef>
          </c:tx>
          <c:spPr>
            <a:ln w="44450" cap="rnd">
              <a:solidFill>
                <a:srgbClr val="FF0000"/>
              </a:solidFill>
              <a:prstDash val="solid"/>
              <a:headEnd type="none"/>
              <a:tailEnd type="none" w="sm" len="sm"/>
            </a:ln>
          </c:spPr>
          <c:marker>
            <c:symbol val="none"/>
          </c:marker>
          <c:cat>
            <c:numRef>
              <c:f>Soru_1!$AO$1:$BA$1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Soru_1!$AO$3:$BA$3</c:f>
              <c:numCache>
                <c:formatCode>#,#00</c:formatCode>
                <c:ptCount val="13"/>
                <c:pt idx="0">
                  <c:v>4.5999999999999996</c:v>
                </c:pt>
                <c:pt idx="1">
                  <c:v>12.8</c:v>
                </c:pt>
                <c:pt idx="2">
                  <c:v>18.899999999999999</c:v>
                </c:pt>
                <c:pt idx="3">
                  <c:v>17.600000000000001</c:v>
                </c:pt>
                <c:pt idx="4">
                  <c:v>14.4</c:v>
                </c:pt>
                <c:pt idx="5">
                  <c:v>7.7</c:v>
                </c:pt>
                <c:pt idx="6">
                  <c:v>5.7</c:v>
                </c:pt>
                <c:pt idx="7">
                  <c:v>16.600000000000001</c:v>
                </c:pt>
                <c:pt idx="8">
                  <c:v>12.1</c:v>
                </c:pt>
                <c:pt idx="9">
                  <c:v>13.9</c:v>
                </c:pt>
                <c:pt idx="10">
                  <c:v>-2.1</c:v>
                </c:pt>
                <c:pt idx="11">
                  <c:v>-4.4000000000000004</c:v>
                </c:pt>
                <c:pt idx="12">
                  <c:v>4.5</c:v>
                </c:pt>
              </c:numCache>
            </c:numRef>
          </c:val>
          <c:smooth val="0"/>
        </c:ser>
        <c:ser>
          <c:idx val="3"/>
          <c:order val="2"/>
          <c:tx>
            <c:strRef>
              <c:f>Soru_1!$A$4</c:f>
              <c:strCache>
                <c:ptCount val="1"/>
                <c:pt idx="0">
                  <c:v>AB-28</c:v>
                </c:pt>
              </c:strCache>
            </c:strRef>
          </c:tx>
          <c:spPr>
            <a:ln w="44450">
              <a:solidFill>
                <a:schemeClr val="accent1"/>
              </a:solidFill>
            </a:ln>
          </c:spPr>
          <c:marker>
            <c:symbol val="none"/>
          </c:marker>
          <c:cat>
            <c:numRef>
              <c:f>Soru_1!$AO$1:$BA$1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Soru_1!$AO$4:$BA$4</c:f>
              <c:numCache>
                <c:formatCode>#.##00</c:formatCode>
                <c:ptCount val="13"/>
                <c:pt idx="0">
                  <c:v>8.1999999999999993</c:v>
                </c:pt>
                <c:pt idx="1">
                  <c:v>6.6</c:v>
                </c:pt>
                <c:pt idx="2">
                  <c:v>4.8</c:v>
                </c:pt>
                <c:pt idx="3">
                  <c:v>8.8000000000000007</c:v>
                </c:pt>
                <c:pt idx="4">
                  <c:v>5.0999999999999996</c:v>
                </c:pt>
                <c:pt idx="5">
                  <c:v>-0.6</c:v>
                </c:pt>
                <c:pt idx="6">
                  <c:v>1.6</c:v>
                </c:pt>
                <c:pt idx="7">
                  <c:v>4.9000000000000004</c:v>
                </c:pt>
                <c:pt idx="8">
                  <c:v>1.3</c:v>
                </c:pt>
                <c:pt idx="9">
                  <c:v>-2.1</c:v>
                </c:pt>
                <c:pt idx="10">
                  <c:v>-2.8</c:v>
                </c:pt>
                <c:pt idx="11">
                  <c:v>-0.9</c:v>
                </c:pt>
                <c:pt idx="12">
                  <c:v>4.5</c:v>
                </c:pt>
              </c:numCache>
            </c:numRef>
          </c:val>
          <c:smooth val="0"/>
        </c:ser>
        <c:dLbls>
          <c:showLegendKey val="0"/>
          <c:showVal val="0"/>
          <c:showCatName val="0"/>
          <c:showSerName val="0"/>
          <c:showPercent val="0"/>
          <c:showBubbleSize val="0"/>
        </c:dLbls>
        <c:smooth val="0"/>
        <c:axId val="463940960"/>
        <c:axId val="463936648"/>
      </c:lineChart>
      <c:dateAx>
        <c:axId val="463940960"/>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b="1" i="0" baseline="0"/>
            </a:pPr>
            <a:endParaRPr lang="tr-TR"/>
          </a:p>
        </c:txPr>
        <c:crossAx val="463936648"/>
        <c:crosses val="autoZero"/>
        <c:auto val="1"/>
        <c:lblOffset val="100"/>
        <c:baseTimeUnit val="months"/>
      </c:dateAx>
      <c:valAx>
        <c:axId val="463936648"/>
        <c:scaling>
          <c:orientation val="minMax"/>
        </c:scaling>
        <c:delete val="0"/>
        <c:axPos val="l"/>
        <c:majorGridlines>
          <c:spPr>
            <a:ln w="3175">
              <a:prstDash val="dash"/>
            </a:ln>
          </c:spPr>
        </c:majorGridlines>
        <c:numFmt formatCode="#,#00" sourceLinked="1"/>
        <c:majorTickMark val="out"/>
        <c:minorTickMark val="none"/>
        <c:tickLblPos val="nextTo"/>
        <c:spPr>
          <a:ln w="19050">
            <a:solidFill>
              <a:sysClr val="windowText" lastClr="000000"/>
            </a:solidFill>
          </a:ln>
        </c:spPr>
        <c:txPr>
          <a:bodyPr/>
          <a:lstStyle/>
          <a:p>
            <a:pPr>
              <a:defRPr b="1" i="0" baseline="0"/>
            </a:pPr>
            <a:endParaRPr lang="tr-TR"/>
          </a:p>
        </c:txPr>
        <c:crossAx val="463940960"/>
        <c:crosses val="autoZero"/>
        <c:crossBetween val="between"/>
      </c:valAx>
    </c:plotArea>
    <c:legend>
      <c:legendPos val="b"/>
      <c:layout>
        <c:manualLayout>
          <c:xMode val="edge"/>
          <c:yMode val="edge"/>
          <c:x val="5.5824715899583724E-3"/>
          <c:y val="0.8963273340832395"/>
          <c:w val="0.99139759896876756"/>
          <c:h val="8.6109111361079863E-2"/>
        </c:manualLayout>
      </c:layout>
      <c:overlay val="0"/>
      <c:txPr>
        <a:bodyPr/>
        <a:lstStyle/>
        <a:p>
          <a:pPr>
            <a:defRPr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951557093425642E-2"/>
          <c:y val="0.25819448725492988"/>
          <c:w val="0.90587641218760695"/>
          <c:h val="0.58702870326262557"/>
        </c:manualLayout>
      </c:layout>
      <c:lineChart>
        <c:grouping val="standard"/>
        <c:varyColors val="0"/>
        <c:ser>
          <c:idx val="0"/>
          <c:order val="0"/>
          <c:tx>
            <c:strRef>
              <c:f>Soru_5!$A$2</c:f>
              <c:strCache>
                <c:ptCount val="1"/>
                <c:pt idx="0">
                  <c:v>Konya (Konya SO)</c:v>
                </c:pt>
              </c:strCache>
            </c:strRef>
          </c:tx>
          <c:spPr>
            <a:ln w="44450">
              <a:solidFill>
                <a:srgbClr val="92D050"/>
              </a:solidFill>
            </a:ln>
          </c:spPr>
          <c:marker>
            <c:symbol val="none"/>
          </c:marker>
          <c:cat>
            <c:numRef>
              <c:f>Soru_5!$AO$1:$BA$1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Soru_5!$AO$2:$BA$2</c:f>
              <c:numCache>
                <c:formatCode>#,#00</c:formatCode>
                <c:ptCount val="13"/>
                <c:pt idx="0">
                  <c:v>43.7</c:v>
                </c:pt>
                <c:pt idx="1">
                  <c:v>34.1</c:v>
                </c:pt>
                <c:pt idx="2">
                  <c:v>-24</c:v>
                </c:pt>
                <c:pt idx="3">
                  <c:v>-2</c:v>
                </c:pt>
                <c:pt idx="4">
                  <c:v>-8.6999999999999993</c:v>
                </c:pt>
                <c:pt idx="5">
                  <c:v>-14.7</c:v>
                </c:pt>
                <c:pt idx="6">
                  <c:v>0.7</c:v>
                </c:pt>
                <c:pt idx="7">
                  <c:v>31</c:v>
                </c:pt>
                <c:pt idx="8">
                  <c:v>4.3</c:v>
                </c:pt>
                <c:pt idx="9">
                  <c:v>-2.7</c:v>
                </c:pt>
                <c:pt idx="10">
                  <c:v>42.3</c:v>
                </c:pt>
                <c:pt idx="11">
                  <c:v>62.7</c:v>
                </c:pt>
                <c:pt idx="12">
                  <c:v>47</c:v>
                </c:pt>
              </c:numCache>
            </c:numRef>
          </c:val>
          <c:smooth val="0"/>
        </c:ser>
        <c:ser>
          <c:idx val="2"/>
          <c:order val="1"/>
          <c:tx>
            <c:strRef>
              <c:f>Soru_5!$A$3</c:f>
              <c:strCache>
                <c:ptCount val="1"/>
                <c:pt idx="0">
                  <c:v>Türkiye (TCMB)</c:v>
                </c:pt>
              </c:strCache>
            </c:strRef>
          </c:tx>
          <c:spPr>
            <a:ln w="44450" cap="rnd">
              <a:solidFill>
                <a:srgbClr val="FF0000"/>
              </a:solidFill>
              <a:prstDash val="solid"/>
              <a:headEnd type="none"/>
              <a:tailEnd type="none" w="sm" len="sm"/>
            </a:ln>
          </c:spPr>
          <c:marker>
            <c:symbol val="none"/>
          </c:marker>
          <c:cat>
            <c:numRef>
              <c:f>Soru_5!$AO$1:$BA$1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Soru_5!$AO$3:$BA$3</c:f>
              <c:numCache>
                <c:formatCode>#,#00</c:formatCode>
                <c:ptCount val="13"/>
                <c:pt idx="0">
                  <c:v>35.1</c:v>
                </c:pt>
                <c:pt idx="1">
                  <c:v>32</c:v>
                </c:pt>
                <c:pt idx="2">
                  <c:v>23</c:v>
                </c:pt>
                <c:pt idx="3">
                  <c:v>16.5</c:v>
                </c:pt>
                <c:pt idx="4">
                  <c:v>19.2</c:v>
                </c:pt>
                <c:pt idx="5">
                  <c:v>10.8</c:v>
                </c:pt>
                <c:pt idx="6">
                  <c:v>11.6</c:v>
                </c:pt>
                <c:pt idx="7">
                  <c:v>10.3</c:v>
                </c:pt>
                <c:pt idx="8">
                  <c:v>5.7</c:v>
                </c:pt>
                <c:pt idx="9">
                  <c:v>12.8</c:v>
                </c:pt>
                <c:pt idx="10">
                  <c:v>26.6</c:v>
                </c:pt>
                <c:pt idx="11">
                  <c:v>29.5</c:v>
                </c:pt>
                <c:pt idx="12">
                  <c:v>31.4</c:v>
                </c:pt>
              </c:numCache>
            </c:numRef>
          </c:val>
          <c:smooth val="0"/>
        </c:ser>
        <c:ser>
          <c:idx val="3"/>
          <c:order val="2"/>
          <c:tx>
            <c:strRef>
              <c:f>Soru_5!$A$4</c:f>
              <c:strCache>
                <c:ptCount val="1"/>
                <c:pt idx="0">
                  <c:v>AB-28</c:v>
                </c:pt>
              </c:strCache>
            </c:strRef>
          </c:tx>
          <c:spPr>
            <a:ln w="44450">
              <a:solidFill>
                <a:schemeClr val="accent1"/>
              </a:solidFill>
            </a:ln>
          </c:spPr>
          <c:marker>
            <c:symbol val="none"/>
          </c:marker>
          <c:cat>
            <c:numRef>
              <c:f>Soru_5!$AO$1:$BA$1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Soru_5!$AO$4:$BA$4</c:f>
              <c:numCache>
                <c:formatCode>#.##00</c:formatCode>
                <c:ptCount val="13"/>
                <c:pt idx="0">
                  <c:v>14.8</c:v>
                </c:pt>
                <c:pt idx="1">
                  <c:v>14.1</c:v>
                </c:pt>
                <c:pt idx="2">
                  <c:v>9.1</c:v>
                </c:pt>
                <c:pt idx="3">
                  <c:v>6.4</c:v>
                </c:pt>
                <c:pt idx="4">
                  <c:v>8.3000000000000007</c:v>
                </c:pt>
                <c:pt idx="5">
                  <c:v>12.1</c:v>
                </c:pt>
                <c:pt idx="6">
                  <c:v>5.7</c:v>
                </c:pt>
                <c:pt idx="7">
                  <c:v>-1.5</c:v>
                </c:pt>
                <c:pt idx="8">
                  <c:v>-0.3</c:v>
                </c:pt>
                <c:pt idx="9">
                  <c:v>10.6</c:v>
                </c:pt>
                <c:pt idx="10">
                  <c:v>14.8</c:v>
                </c:pt>
                <c:pt idx="11">
                  <c:v>17.2</c:v>
                </c:pt>
                <c:pt idx="12">
                  <c:v>15.4</c:v>
                </c:pt>
              </c:numCache>
            </c:numRef>
          </c:val>
          <c:smooth val="0"/>
        </c:ser>
        <c:dLbls>
          <c:showLegendKey val="0"/>
          <c:showVal val="0"/>
          <c:showCatName val="0"/>
          <c:showSerName val="0"/>
          <c:showPercent val="0"/>
          <c:showBubbleSize val="0"/>
        </c:dLbls>
        <c:smooth val="0"/>
        <c:axId val="463948016"/>
        <c:axId val="463946448"/>
      </c:lineChart>
      <c:dateAx>
        <c:axId val="463948016"/>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b="1" i="0" baseline="0"/>
            </a:pPr>
            <a:endParaRPr lang="tr-TR"/>
          </a:p>
        </c:txPr>
        <c:crossAx val="463946448"/>
        <c:crosses val="autoZero"/>
        <c:auto val="1"/>
        <c:lblOffset val="100"/>
        <c:baseTimeUnit val="months"/>
      </c:dateAx>
      <c:valAx>
        <c:axId val="463946448"/>
        <c:scaling>
          <c:orientation val="minMax"/>
        </c:scaling>
        <c:delete val="0"/>
        <c:axPos val="l"/>
        <c:majorGridlines>
          <c:spPr>
            <a:ln w="3175">
              <a:prstDash val="dash"/>
            </a:ln>
          </c:spPr>
        </c:majorGridlines>
        <c:numFmt formatCode="#,#00" sourceLinked="1"/>
        <c:majorTickMark val="out"/>
        <c:minorTickMark val="none"/>
        <c:tickLblPos val="nextTo"/>
        <c:spPr>
          <a:ln w="19050">
            <a:solidFill>
              <a:sysClr val="windowText" lastClr="000000"/>
            </a:solidFill>
          </a:ln>
        </c:spPr>
        <c:txPr>
          <a:bodyPr/>
          <a:lstStyle/>
          <a:p>
            <a:pPr>
              <a:defRPr b="1" i="0" baseline="0"/>
            </a:pPr>
            <a:endParaRPr lang="tr-TR"/>
          </a:p>
        </c:txPr>
        <c:crossAx val="463948016"/>
        <c:crosses val="autoZero"/>
        <c:crossBetween val="between"/>
      </c:valAx>
    </c:plotArea>
    <c:legend>
      <c:legendPos val="b"/>
      <c:layout>
        <c:manualLayout>
          <c:xMode val="edge"/>
          <c:yMode val="edge"/>
          <c:x val="5.5824715899583724E-3"/>
          <c:y val="0.8963273340832395"/>
          <c:w val="0.99139759896876756"/>
          <c:h val="8.6109111361079863E-2"/>
        </c:manualLayout>
      </c:layout>
      <c:overlay val="0"/>
      <c:txPr>
        <a:bodyPr/>
        <a:lstStyle/>
        <a:p>
          <a:pPr>
            <a:defRPr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Soru_8!$B$40</c:f>
              <c:strCache>
                <c:ptCount val="1"/>
                <c:pt idx="0">
                  <c:v>AB-28</c:v>
                </c:pt>
              </c:strCache>
            </c:strRef>
          </c:tx>
          <c:invertIfNegative val="0"/>
          <c:dLbls>
            <c:delete val="1"/>
          </c:dLbls>
          <c:cat>
            <c:strRef>
              <c:f>Soru_8!$A$41:$A$46</c:f>
              <c:strCache>
                <c:ptCount val="6"/>
                <c:pt idx="0">
                  <c:v>Materyal ve/veya araç-gereç eksikliği</c:v>
                </c:pt>
                <c:pt idx="1">
                  <c:v>Hiçbiri</c:v>
                </c:pt>
                <c:pt idx="2">
                  <c:v>Diğer faktörler</c:v>
                </c:pt>
                <c:pt idx="3">
                  <c:v>İşgücü eksikliği</c:v>
                </c:pt>
                <c:pt idx="4">
                  <c:v>Yetersiz Talep</c:v>
                </c:pt>
                <c:pt idx="5">
                  <c:v>Finansal kısıtlamalar</c:v>
                </c:pt>
              </c:strCache>
            </c:strRef>
          </c:cat>
          <c:val>
            <c:numRef>
              <c:f>Soru_8!$B$41:$B$46</c:f>
              <c:numCache>
                <c:formatCode>#,#00</c:formatCode>
                <c:ptCount val="6"/>
                <c:pt idx="0">
                  <c:v>6.6</c:v>
                </c:pt>
                <c:pt idx="1">
                  <c:v>47.5</c:v>
                </c:pt>
                <c:pt idx="2">
                  <c:v>7.1</c:v>
                </c:pt>
                <c:pt idx="3">
                  <c:v>10.6</c:v>
                </c:pt>
                <c:pt idx="4">
                  <c:v>35.1</c:v>
                </c:pt>
                <c:pt idx="5">
                  <c:v>8.5</c:v>
                </c:pt>
              </c:numCache>
            </c:numRef>
          </c:val>
        </c:ser>
        <c:ser>
          <c:idx val="1"/>
          <c:order val="1"/>
          <c:tx>
            <c:strRef>
              <c:f>Soru_8!$C$40</c:f>
              <c:strCache>
                <c:ptCount val="1"/>
                <c:pt idx="0">
                  <c:v>Türkiye (TCMB)</c:v>
                </c:pt>
              </c:strCache>
            </c:strRef>
          </c:tx>
          <c:invertIfNegative val="0"/>
          <c:dLbls>
            <c:delete val="1"/>
          </c:dLbls>
          <c:cat>
            <c:strRef>
              <c:f>Soru_8!$A$41:$A$46</c:f>
              <c:strCache>
                <c:ptCount val="6"/>
                <c:pt idx="0">
                  <c:v>Materyal ve/veya araç-gereç eksikliği</c:v>
                </c:pt>
                <c:pt idx="1">
                  <c:v>Hiçbiri</c:v>
                </c:pt>
                <c:pt idx="2">
                  <c:v>Diğer faktörler</c:v>
                </c:pt>
                <c:pt idx="3">
                  <c:v>İşgücü eksikliği</c:v>
                </c:pt>
                <c:pt idx="4">
                  <c:v>Yetersiz Talep</c:v>
                </c:pt>
                <c:pt idx="5">
                  <c:v>Finansal kısıtlamalar</c:v>
                </c:pt>
              </c:strCache>
            </c:strRef>
          </c:cat>
          <c:val>
            <c:numRef>
              <c:f>Soru_8!$C$41:$C$46</c:f>
              <c:numCache>
                <c:formatCode>#,#00</c:formatCode>
                <c:ptCount val="6"/>
                <c:pt idx="0">
                  <c:v>8.8000000000000007</c:v>
                </c:pt>
                <c:pt idx="1">
                  <c:v>47.8</c:v>
                </c:pt>
                <c:pt idx="2">
                  <c:v>4.5</c:v>
                </c:pt>
                <c:pt idx="3">
                  <c:v>8.5</c:v>
                </c:pt>
                <c:pt idx="4">
                  <c:v>22.2</c:v>
                </c:pt>
                <c:pt idx="5">
                  <c:v>8.1999999999999993</c:v>
                </c:pt>
              </c:numCache>
            </c:numRef>
          </c:val>
        </c:ser>
        <c:ser>
          <c:idx val="2"/>
          <c:order val="2"/>
          <c:tx>
            <c:strRef>
              <c:f>Soru_8!$D$40</c:f>
              <c:strCache>
                <c:ptCount val="1"/>
                <c:pt idx="0">
                  <c:v>Konya (Konya SO)</c:v>
                </c:pt>
              </c:strCache>
            </c:strRef>
          </c:tx>
          <c:invertIfNegative val="0"/>
          <c:dLbls>
            <c:dLbl>
              <c:idx val="0"/>
              <c:delete val="1"/>
              <c:extLst>
                <c:ext xmlns:c15="http://schemas.microsoft.com/office/drawing/2012/chart" uri="{CE6537A1-D6FC-4f65-9D91-7224C49458BB}"/>
              </c:extLst>
            </c:dLbl>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Soru_8!$A$41:$A$46</c:f>
              <c:strCache>
                <c:ptCount val="6"/>
                <c:pt idx="0">
                  <c:v>Materyal ve/veya araç-gereç eksikliği</c:v>
                </c:pt>
                <c:pt idx="1">
                  <c:v>Hiçbiri</c:v>
                </c:pt>
                <c:pt idx="2">
                  <c:v>Diğer faktörler</c:v>
                </c:pt>
                <c:pt idx="3">
                  <c:v>İşgücü eksikliği</c:v>
                </c:pt>
                <c:pt idx="4">
                  <c:v>Yetersiz Talep</c:v>
                </c:pt>
                <c:pt idx="5">
                  <c:v>Finansal kısıtlamalar</c:v>
                </c:pt>
              </c:strCache>
            </c:strRef>
          </c:cat>
          <c:val>
            <c:numRef>
              <c:f>Soru_8!$D$41:$D$46</c:f>
              <c:numCache>
                <c:formatCode>#,#00</c:formatCode>
                <c:ptCount val="6"/>
                <c:pt idx="0">
                  <c:v>0</c:v>
                </c:pt>
                <c:pt idx="1">
                  <c:v>0.33333000000000002</c:v>
                </c:pt>
                <c:pt idx="2">
                  <c:v>11.66667</c:v>
                </c:pt>
                <c:pt idx="3">
                  <c:v>13</c:v>
                </c:pt>
                <c:pt idx="4">
                  <c:v>28.000000000000004</c:v>
                </c:pt>
                <c:pt idx="5">
                  <c:v>47</c:v>
                </c:pt>
              </c:numCache>
            </c:numRef>
          </c:val>
        </c:ser>
        <c:dLbls>
          <c:showLegendKey val="0"/>
          <c:showVal val="1"/>
          <c:showCatName val="0"/>
          <c:showSerName val="0"/>
          <c:showPercent val="0"/>
          <c:showBubbleSize val="0"/>
        </c:dLbls>
        <c:gapWidth val="75"/>
        <c:axId val="463948408"/>
        <c:axId val="463947624"/>
      </c:barChart>
      <c:catAx>
        <c:axId val="463948408"/>
        <c:scaling>
          <c:orientation val="minMax"/>
        </c:scaling>
        <c:delete val="0"/>
        <c:axPos val="l"/>
        <c:numFmt formatCode="General" sourceLinked="1"/>
        <c:majorTickMark val="none"/>
        <c:minorTickMark val="none"/>
        <c:tickLblPos val="nextTo"/>
        <c:crossAx val="463947624"/>
        <c:crosses val="autoZero"/>
        <c:auto val="1"/>
        <c:lblAlgn val="ctr"/>
        <c:lblOffset val="100"/>
        <c:noMultiLvlLbl val="0"/>
      </c:catAx>
      <c:valAx>
        <c:axId val="463947624"/>
        <c:scaling>
          <c:orientation val="minMax"/>
        </c:scaling>
        <c:delete val="0"/>
        <c:axPos val="b"/>
        <c:numFmt formatCode="General" sourceLinked="0"/>
        <c:majorTickMark val="none"/>
        <c:minorTickMark val="none"/>
        <c:tickLblPos val="nextTo"/>
        <c:crossAx val="463948408"/>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0748662636076405"/>
          <c:y val="5.0925925925925923E-2"/>
          <c:w val="0.55453110649725956"/>
          <c:h val="0.77798441861434875"/>
        </c:manualLayout>
      </c:layout>
      <c:barChart>
        <c:barDir val="bar"/>
        <c:grouping val="percentStacked"/>
        <c:varyColors val="0"/>
        <c:ser>
          <c:idx val="0"/>
          <c:order val="0"/>
          <c:tx>
            <c:strRef>
              <c:f>Sayfa1!$C$15</c:f>
              <c:strCache>
                <c:ptCount val="1"/>
                <c:pt idx="0">
                  <c:v>Arttı/Normalin üzerinde/Artacak</c:v>
                </c:pt>
              </c:strCache>
            </c:strRef>
          </c:tx>
          <c:spPr>
            <a:solidFill>
              <a:srgbClr val="92D05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Sayfa1!$B$16:$B$24</c:f>
              <c:strCache>
                <c:ptCount val="9"/>
                <c:pt idx="0">
                  <c:v>Önümüzdeki 3 ayda toplam siparişler</c:v>
                </c:pt>
                <c:pt idx="1">
                  <c:v>Önümüzdeki 3 ayda ihracat siparişleri</c:v>
                </c:pt>
                <c:pt idx="2">
                  <c:v>Önümüzdeki 3 ayda iç piyasa siparişleri</c:v>
                </c:pt>
                <c:pt idx="3">
                  <c:v>Şu andaki toplam siparişler</c:v>
                </c:pt>
                <c:pt idx="4">
                  <c:v>Şu andaki toplam ihracat siparişleri</c:v>
                </c:pt>
                <c:pt idx="5">
                  <c:v>Şu andaki toplam iç piyasa siparişleri</c:v>
                </c:pt>
                <c:pt idx="6">
                  <c:v>Geçtiğimiz 3 aya göre toplam siparişler</c:v>
                </c:pt>
                <c:pt idx="7">
                  <c:v>Geçtiğimiz 3 aya göre ihracat siparişleri</c:v>
                </c:pt>
                <c:pt idx="8">
                  <c:v>Geçtiğimiz 3 aya göre iç piyasa siparişleri</c:v>
                </c:pt>
              </c:strCache>
            </c:strRef>
          </c:cat>
          <c:val>
            <c:numRef>
              <c:f>Sayfa1!$C$16:$C$24</c:f>
              <c:numCache>
                <c:formatCode>#,#00</c:formatCode>
                <c:ptCount val="9"/>
                <c:pt idx="0">
                  <c:v>56.999999999999993</c:v>
                </c:pt>
                <c:pt idx="1">
                  <c:v>52.5</c:v>
                </c:pt>
                <c:pt idx="2">
                  <c:v>57.333330000000004</c:v>
                </c:pt>
                <c:pt idx="3">
                  <c:v>14.666670000000002</c:v>
                </c:pt>
                <c:pt idx="4">
                  <c:v>13.580249999999999</c:v>
                </c:pt>
                <c:pt idx="5">
                  <c:v>14.666670000000002</c:v>
                </c:pt>
                <c:pt idx="6">
                  <c:v>12.33333</c:v>
                </c:pt>
                <c:pt idx="7">
                  <c:v>15</c:v>
                </c:pt>
                <c:pt idx="8">
                  <c:v>13.333329999999998</c:v>
                </c:pt>
              </c:numCache>
            </c:numRef>
          </c:val>
        </c:ser>
        <c:ser>
          <c:idx val="1"/>
          <c:order val="1"/>
          <c:tx>
            <c:strRef>
              <c:f>Sayfa1!$D$15</c:f>
              <c:strCache>
                <c:ptCount val="1"/>
                <c:pt idx="0">
                  <c:v>Aynı kaldı/Normal/Aynı kalacak</c:v>
                </c:pt>
              </c:strCache>
            </c:strRef>
          </c:tx>
          <c:spPr>
            <a:solidFill>
              <a:srgbClr val="0070C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Sayfa1!$B$16:$B$24</c:f>
              <c:strCache>
                <c:ptCount val="9"/>
                <c:pt idx="0">
                  <c:v>Önümüzdeki 3 ayda toplam siparişler</c:v>
                </c:pt>
                <c:pt idx="1">
                  <c:v>Önümüzdeki 3 ayda ihracat siparişleri</c:v>
                </c:pt>
                <c:pt idx="2">
                  <c:v>Önümüzdeki 3 ayda iç piyasa siparişleri</c:v>
                </c:pt>
                <c:pt idx="3">
                  <c:v>Şu andaki toplam siparişler</c:v>
                </c:pt>
                <c:pt idx="4">
                  <c:v>Şu andaki toplam ihracat siparişleri</c:v>
                </c:pt>
                <c:pt idx="5">
                  <c:v>Şu andaki toplam iç piyasa siparişleri</c:v>
                </c:pt>
                <c:pt idx="6">
                  <c:v>Geçtiğimiz 3 aya göre toplam siparişler</c:v>
                </c:pt>
                <c:pt idx="7">
                  <c:v>Geçtiğimiz 3 aya göre ihracat siparişleri</c:v>
                </c:pt>
                <c:pt idx="8">
                  <c:v>Geçtiğimiz 3 aya göre iç piyasa siparişleri</c:v>
                </c:pt>
              </c:strCache>
            </c:strRef>
          </c:cat>
          <c:val>
            <c:numRef>
              <c:f>Sayfa1!$D$16:$D$24</c:f>
              <c:numCache>
                <c:formatCode>#,#00</c:formatCode>
                <c:ptCount val="9"/>
                <c:pt idx="0">
                  <c:v>32</c:v>
                </c:pt>
                <c:pt idx="1">
                  <c:v>40</c:v>
                </c:pt>
                <c:pt idx="2">
                  <c:v>32</c:v>
                </c:pt>
                <c:pt idx="3">
                  <c:v>42</c:v>
                </c:pt>
                <c:pt idx="4">
                  <c:v>23.456789999999998</c:v>
                </c:pt>
                <c:pt idx="5">
                  <c:v>36</c:v>
                </c:pt>
                <c:pt idx="6">
                  <c:v>30.66667</c:v>
                </c:pt>
                <c:pt idx="7">
                  <c:v>22.5</c:v>
                </c:pt>
                <c:pt idx="8">
                  <c:v>28.999999999999996</c:v>
                </c:pt>
              </c:numCache>
            </c:numRef>
          </c:val>
        </c:ser>
        <c:ser>
          <c:idx val="2"/>
          <c:order val="2"/>
          <c:tx>
            <c:strRef>
              <c:f>Sayfa1!$E$15</c:f>
              <c:strCache>
                <c:ptCount val="1"/>
                <c:pt idx="0">
                  <c:v>Azaldı/Normalin altında/Azalacak</c:v>
                </c:pt>
              </c:strCache>
            </c:strRef>
          </c:tx>
          <c:spPr>
            <a:solidFill>
              <a:srgbClr val="FF0000"/>
            </a:solidFill>
          </c:spPr>
          <c:invertIfNegative val="0"/>
          <c:dLbls>
            <c:numFmt formatCode="#,##0.0" sourceLinked="0"/>
            <c:spPr>
              <a:noFill/>
              <a:ln>
                <a:noFill/>
              </a:ln>
              <a:effectLst/>
            </c:spPr>
            <c:txPr>
              <a:bodyPr/>
              <a:lstStyle/>
              <a:p>
                <a:pPr>
                  <a:defRPr b="1"/>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Sayfa1!$B$16:$B$24</c:f>
              <c:strCache>
                <c:ptCount val="9"/>
                <c:pt idx="0">
                  <c:v>Önümüzdeki 3 ayda toplam siparişler</c:v>
                </c:pt>
                <c:pt idx="1">
                  <c:v>Önümüzdeki 3 ayda ihracat siparişleri</c:v>
                </c:pt>
                <c:pt idx="2">
                  <c:v>Önümüzdeki 3 ayda iç piyasa siparişleri</c:v>
                </c:pt>
                <c:pt idx="3">
                  <c:v>Şu andaki toplam siparişler</c:v>
                </c:pt>
                <c:pt idx="4">
                  <c:v>Şu andaki toplam ihracat siparişleri</c:v>
                </c:pt>
                <c:pt idx="5">
                  <c:v>Şu andaki toplam iç piyasa siparişleri</c:v>
                </c:pt>
                <c:pt idx="6">
                  <c:v>Geçtiğimiz 3 aya göre toplam siparişler</c:v>
                </c:pt>
                <c:pt idx="7">
                  <c:v>Geçtiğimiz 3 aya göre ihracat siparişleri</c:v>
                </c:pt>
                <c:pt idx="8">
                  <c:v>Geçtiğimiz 3 aya göre iç piyasa siparişleri</c:v>
                </c:pt>
              </c:strCache>
            </c:strRef>
          </c:cat>
          <c:val>
            <c:numRef>
              <c:f>Sayfa1!$E$16:$E$24</c:f>
              <c:numCache>
                <c:formatCode>#,#00</c:formatCode>
                <c:ptCount val="9"/>
                <c:pt idx="0">
                  <c:v>11</c:v>
                </c:pt>
                <c:pt idx="1">
                  <c:v>7.5</c:v>
                </c:pt>
                <c:pt idx="2">
                  <c:v>10.66667</c:v>
                </c:pt>
                <c:pt idx="3">
                  <c:v>43.333329999999997</c:v>
                </c:pt>
                <c:pt idx="4">
                  <c:v>62.962960000000002</c:v>
                </c:pt>
                <c:pt idx="5">
                  <c:v>49.333329999999997</c:v>
                </c:pt>
                <c:pt idx="6">
                  <c:v>56.999999999999993</c:v>
                </c:pt>
                <c:pt idx="7">
                  <c:v>62.5</c:v>
                </c:pt>
                <c:pt idx="8">
                  <c:v>57.666669999999996</c:v>
                </c:pt>
              </c:numCache>
            </c:numRef>
          </c:val>
        </c:ser>
        <c:dLbls>
          <c:showLegendKey val="0"/>
          <c:showVal val="0"/>
          <c:showCatName val="0"/>
          <c:showSerName val="0"/>
          <c:showPercent val="0"/>
          <c:showBubbleSize val="0"/>
        </c:dLbls>
        <c:gapWidth val="70"/>
        <c:overlap val="100"/>
        <c:axId val="463948800"/>
        <c:axId val="463949192"/>
      </c:barChart>
      <c:catAx>
        <c:axId val="463948800"/>
        <c:scaling>
          <c:orientation val="minMax"/>
        </c:scaling>
        <c:delete val="0"/>
        <c:axPos val="l"/>
        <c:numFmt formatCode="General" sourceLinked="1"/>
        <c:majorTickMark val="out"/>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463949192"/>
        <c:crosses val="autoZero"/>
        <c:auto val="1"/>
        <c:lblAlgn val="ctr"/>
        <c:lblOffset val="100"/>
        <c:noMultiLvlLbl val="0"/>
      </c:catAx>
      <c:valAx>
        <c:axId val="463949192"/>
        <c:scaling>
          <c:orientation val="minMax"/>
        </c:scaling>
        <c:delete val="0"/>
        <c:axPos val="b"/>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463948800"/>
        <c:crosses val="autoZero"/>
        <c:crossBetween val="between"/>
      </c:valAx>
    </c:plotArea>
    <c:legend>
      <c:legendPos val="b"/>
      <c:layout>
        <c:manualLayout>
          <c:xMode val="edge"/>
          <c:yMode val="edge"/>
          <c:x val="2.7888379624188896E-2"/>
          <c:y val="0.91949339665875163"/>
          <c:w val="0.968546071044602"/>
          <c:h val="7.8125546806649168E-2"/>
        </c:manualLayout>
      </c:layout>
      <c:overlay val="0"/>
      <c:txPr>
        <a:bodyPr/>
        <a:lstStyle/>
        <a:p>
          <a:pPr>
            <a:defRPr sz="900" b="1" i="0" u="none" strike="noStrike" baseline="0">
              <a:solidFill>
                <a:srgbClr val="000000"/>
              </a:solidFill>
              <a:latin typeface="Calibri"/>
              <a:ea typeface="Calibri"/>
              <a:cs typeface="Calibri"/>
            </a:defRPr>
          </a:pPr>
          <a:endParaRPr lang="tr-T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951557093425642E-2"/>
          <c:y val="0.25819448725492988"/>
          <c:w val="0.90210566294827288"/>
          <c:h val="0.58702870326262557"/>
        </c:manualLayout>
      </c:layout>
      <c:lineChart>
        <c:grouping val="standard"/>
        <c:varyColors val="0"/>
        <c:ser>
          <c:idx val="0"/>
          <c:order val="0"/>
          <c:tx>
            <c:strRef>
              <c:f>Soru_2!$A$2</c:f>
              <c:strCache>
                <c:ptCount val="1"/>
                <c:pt idx="0">
                  <c:v>Konya (Konya SO)</c:v>
                </c:pt>
              </c:strCache>
            </c:strRef>
          </c:tx>
          <c:spPr>
            <a:ln w="44450">
              <a:solidFill>
                <a:srgbClr val="92D050"/>
              </a:solidFill>
            </a:ln>
          </c:spPr>
          <c:marker>
            <c:symbol val="none"/>
          </c:marker>
          <c:cat>
            <c:numRef>
              <c:f>Soru_2!$AO$1:$BA$1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Soru_2!$AO$2:$BA$2</c:f>
              <c:numCache>
                <c:formatCode>#,#00</c:formatCode>
                <c:ptCount val="13"/>
                <c:pt idx="0">
                  <c:v>-20.7</c:v>
                </c:pt>
                <c:pt idx="1">
                  <c:v>-10.3</c:v>
                </c:pt>
                <c:pt idx="2">
                  <c:v>-15.6</c:v>
                </c:pt>
                <c:pt idx="3">
                  <c:v>-26.7</c:v>
                </c:pt>
                <c:pt idx="4">
                  <c:v>-7</c:v>
                </c:pt>
                <c:pt idx="5">
                  <c:v>-23.7</c:v>
                </c:pt>
                <c:pt idx="6">
                  <c:v>-24.3</c:v>
                </c:pt>
                <c:pt idx="7">
                  <c:v>-17</c:v>
                </c:pt>
                <c:pt idx="8">
                  <c:v>2.2999999999999998</c:v>
                </c:pt>
                <c:pt idx="9">
                  <c:v>-31.1</c:v>
                </c:pt>
                <c:pt idx="10">
                  <c:v>-28.3</c:v>
                </c:pt>
                <c:pt idx="11">
                  <c:v>-33</c:v>
                </c:pt>
                <c:pt idx="12">
                  <c:v>-28.7</c:v>
                </c:pt>
              </c:numCache>
            </c:numRef>
          </c:val>
          <c:smooth val="0"/>
        </c:ser>
        <c:ser>
          <c:idx val="2"/>
          <c:order val="1"/>
          <c:tx>
            <c:strRef>
              <c:f>Soru_2!$A$3</c:f>
              <c:strCache>
                <c:ptCount val="1"/>
                <c:pt idx="0">
                  <c:v>Türkiye (TCMB)</c:v>
                </c:pt>
              </c:strCache>
            </c:strRef>
          </c:tx>
          <c:spPr>
            <a:ln w="44450" cap="rnd">
              <a:solidFill>
                <a:srgbClr val="FF0000"/>
              </a:solidFill>
              <a:prstDash val="solid"/>
              <a:headEnd type="none"/>
              <a:tailEnd type="none" w="sm" len="sm"/>
            </a:ln>
          </c:spPr>
          <c:marker>
            <c:symbol val="none"/>
          </c:marker>
          <c:cat>
            <c:numRef>
              <c:f>Soru_2!$AO$1:$BA$1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Soru_2!$AO$3:$BA$3</c:f>
              <c:numCache>
                <c:formatCode>#,#00</c:formatCode>
                <c:ptCount val="13"/>
                <c:pt idx="0">
                  <c:v>-10.9</c:v>
                </c:pt>
                <c:pt idx="1">
                  <c:v>-8.3000000000000007</c:v>
                </c:pt>
                <c:pt idx="2">
                  <c:v>-9</c:v>
                </c:pt>
                <c:pt idx="3">
                  <c:v>-9</c:v>
                </c:pt>
                <c:pt idx="4">
                  <c:v>-9.9</c:v>
                </c:pt>
                <c:pt idx="5">
                  <c:v>-12.1</c:v>
                </c:pt>
                <c:pt idx="6">
                  <c:v>-12.2</c:v>
                </c:pt>
                <c:pt idx="7">
                  <c:v>-5.7</c:v>
                </c:pt>
                <c:pt idx="8">
                  <c:v>-9.8000000000000007</c:v>
                </c:pt>
                <c:pt idx="9">
                  <c:v>-10.9</c:v>
                </c:pt>
                <c:pt idx="10">
                  <c:v>-11.7</c:v>
                </c:pt>
                <c:pt idx="11">
                  <c:v>-11.5</c:v>
                </c:pt>
                <c:pt idx="12">
                  <c:v>-8.1999999999999993</c:v>
                </c:pt>
              </c:numCache>
            </c:numRef>
          </c:val>
          <c:smooth val="0"/>
        </c:ser>
        <c:ser>
          <c:idx val="3"/>
          <c:order val="2"/>
          <c:tx>
            <c:strRef>
              <c:f>Soru_2!$A$4</c:f>
              <c:strCache>
                <c:ptCount val="1"/>
                <c:pt idx="0">
                  <c:v>AB-28</c:v>
                </c:pt>
              </c:strCache>
            </c:strRef>
          </c:tx>
          <c:spPr>
            <a:ln w="44450">
              <a:solidFill>
                <a:schemeClr val="accent1"/>
              </a:solidFill>
            </a:ln>
          </c:spPr>
          <c:marker>
            <c:symbol val="none"/>
          </c:marker>
          <c:cat>
            <c:numRef>
              <c:f>Soru_2!$AO$1:$BA$1</c:f>
              <c:numCache>
                <c:formatCode>[$-41F]mmmm\ yy;@</c:formatCode>
                <c:ptCount val="13"/>
                <c:pt idx="0">
                  <c:v>42095</c:v>
                </c:pt>
                <c:pt idx="1">
                  <c:v>42125</c:v>
                </c:pt>
                <c:pt idx="2">
                  <c:v>42156</c:v>
                </c:pt>
                <c:pt idx="3">
                  <c:v>42186</c:v>
                </c:pt>
                <c:pt idx="4">
                  <c:v>42217</c:v>
                </c:pt>
                <c:pt idx="5">
                  <c:v>42248</c:v>
                </c:pt>
                <c:pt idx="6">
                  <c:v>42278</c:v>
                </c:pt>
                <c:pt idx="7">
                  <c:v>42309</c:v>
                </c:pt>
                <c:pt idx="8">
                  <c:v>42339</c:v>
                </c:pt>
                <c:pt idx="9">
                  <c:v>42370</c:v>
                </c:pt>
                <c:pt idx="10">
                  <c:v>42401</c:v>
                </c:pt>
                <c:pt idx="11">
                  <c:v>42430</c:v>
                </c:pt>
                <c:pt idx="12">
                  <c:v>42461</c:v>
                </c:pt>
              </c:numCache>
            </c:numRef>
          </c:cat>
          <c:val>
            <c:numRef>
              <c:f>Soru_2!$AO$4:$BA$4</c:f>
              <c:numCache>
                <c:formatCode>#.##00</c:formatCode>
                <c:ptCount val="13"/>
                <c:pt idx="0">
                  <c:v>-9.5</c:v>
                </c:pt>
                <c:pt idx="1">
                  <c:v>-10.7</c:v>
                </c:pt>
                <c:pt idx="2">
                  <c:v>-10.7</c:v>
                </c:pt>
                <c:pt idx="3">
                  <c:v>-11</c:v>
                </c:pt>
                <c:pt idx="4">
                  <c:v>-9.6999999999999993</c:v>
                </c:pt>
                <c:pt idx="5">
                  <c:v>-12.2</c:v>
                </c:pt>
                <c:pt idx="6">
                  <c:v>-14.1</c:v>
                </c:pt>
                <c:pt idx="7">
                  <c:v>-15</c:v>
                </c:pt>
                <c:pt idx="8">
                  <c:v>-12</c:v>
                </c:pt>
                <c:pt idx="9">
                  <c:v>-13.1</c:v>
                </c:pt>
                <c:pt idx="10">
                  <c:v>-14.4</c:v>
                </c:pt>
                <c:pt idx="11">
                  <c:v>-13.2</c:v>
                </c:pt>
                <c:pt idx="12">
                  <c:v>-11.6</c:v>
                </c:pt>
              </c:numCache>
            </c:numRef>
          </c:val>
          <c:smooth val="0"/>
        </c:ser>
        <c:dLbls>
          <c:showLegendKey val="0"/>
          <c:showVal val="0"/>
          <c:showCatName val="0"/>
          <c:showSerName val="0"/>
          <c:showPercent val="0"/>
          <c:showBubbleSize val="0"/>
        </c:dLbls>
        <c:smooth val="0"/>
        <c:axId val="461213104"/>
        <c:axId val="461209968"/>
      </c:lineChart>
      <c:dateAx>
        <c:axId val="461213104"/>
        <c:scaling>
          <c:orientation val="minMax"/>
        </c:scaling>
        <c:delete val="0"/>
        <c:axPos val="b"/>
        <c:numFmt formatCode="[$-41F]mmmm\ yy;@" sourceLinked="0"/>
        <c:majorTickMark val="out"/>
        <c:minorTickMark val="none"/>
        <c:tickLblPos val="high"/>
        <c:spPr>
          <a:ln w="19050">
            <a:solidFill>
              <a:sysClr val="windowText" lastClr="000000"/>
            </a:solidFill>
          </a:ln>
        </c:spPr>
        <c:txPr>
          <a:bodyPr rot="-2700000" anchor="ctr" anchorCtr="1"/>
          <a:lstStyle/>
          <a:p>
            <a:pPr>
              <a:defRPr b="1" i="0" baseline="0"/>
            </a:pPr>
            <a:endParaRPr lang="tr-TR"/>
          </a:p>
        </c:txPr>
        <c:crossAx val="461209968"/>
        <c:crosses val="autoZero"/>
        <c:auto val="1"/>
        <c:lblOffset val="100"/>
        <c:baseTimeUnit val="months"/>
      </c:dateAx>
      <c:valAx>
        <c:axId val="461209968"/>
        <c:scaling>
          <c:orientation val="minMax"/>
        </c:scaling>
        <c:delete val="0"/>
        <c:axPos val="l"/>
        <c:majorGridlines>
          <c:spPr>
            <a:ln w="3175">
              <a:prstDash val="dash"/>
            </a:ln>
          </c:spPr>
        </c:majorGridlines>
        <c:numFmt formatCode="#,#00" sourceLinked="1"/>
        <c:majorTickMark val="out"/>
        <c:minorTickMark val="none"/>
        <c:tickLblPos val="nextTo"/>
        <c:spPr>
          <a:ln w="19050">
            <a:solidFill>
              <a:sysClr val="windowText" lastClr="000000"/>
            </a:solidFill>
          </a:ln>
        </c:spPr>
        <c:txPr>
          <a:bodyPr/>
          <a:lstStyle/>
          <a:p>
            <a:pPr>
              <a:defRPr b="1" i="0" baseline="0"/>
            </a:pPr>
            <a:endParaRPr lang="tr-TR"/>
          </a:p>
        </c:txPr>
        <c:crossAx val="461213104"/>
        <c:crosses val="autoZero"/>
        <c:crossBetween val="between"/>
      </c:valAx>
    </c:plotArea>
    <c:legend>
      <c:legendPos val="b"/>
      <c:layout>
        <c:manualLayout>
          <c:xMode val="edge"/>
          <c:yMode val="edge"/>
          <c:x val="5.5824715899583724E-3"/>
          <c:y val="0.8963273340832395"/>
          <c:w val="0.99139759896876756"/>
          <c:h val="8.6109111361079863E-2"/>
        </c:manualLayout>
      </c:layout>
      <c:overlay val="0"/>
      <c:txPr>
        <a:bodyPr/>
        <a:lstStyle/>
        <a:p>
          <a:pPr>
            <a:defRPr sz="1000" b="1"/>
          </a:pPr>
          <a:endParaRPr lang="tr-TR"/>
        </a:p>
      </c:txPr>
    </c:legend>
    <c:plotVisOnly val="1"/>
    <c:dispBlanksAs val="gap"/>
    <c:showDLblsOverMax val="0"/>
  </c:chart>
  <c:spPr>
    <a:ln w="12700">
      <a:solidFill>
        <a:sysClr val="windowText" lastClr="000000"/>
      </a:solid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0.8233</cdr:x>
      <cdr:y>0</cdr:y>
    </cdr:from>
    <cdr:to>
      <cdr:x>0.828</cdr:x>
      <cdr:y>0.84453</cdr:y>
    </cdr:to>
    <cdr:sp macro="" textlink="">
      <cdr:nvSpPr>
        <cdr:cNvPr id="2" name="2 Düz Bağlayıcı"/>
        <cdr:cNvSpPr/>
      </cdr:nvSpPr>
      <cdr:spPr>
        <a:xfrm xmlns:a="http://schemas.openxmlformats.org/drawingml/2006/main" flipH="1" flipV="1">
          <a:off x="4741747" y="0"/>
          <a:ext cx="27070" cy="2713559"/>
        </a:xfrm>
        <a:prstGeom xmlns:a="http://schemas.openxmlformats.org/drawingml/2006/main" prst="line">
          <a:avLst/>
        </a:prstGeom>
        <a:noFill xmlns:a="http://schemas.openxmlformats.org/drawingml/2006/main"/>
        <a:ln xmlns:a="http://schemas.openxmlformats.org/drawingml/2006/main" w="15875" cap="flat" cmpd="sng" algn="ctr">
          <a:solidFill>
            <a:srgbClr val="FF0000"/>
          </a:solidFill>
          <a:prstDash val="sysDash"/>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tr-TR"/>
        </a:p>
      </cdr:txBody>
    </cdr:sp>
  </cdr:relSizeAnchor>
  <cdr:relSizeAnchor xmlns:cdr="http://schemas.openxmlformats.org/drawingml/2006/chartDrawing">
    <cdr:from>
      <cdr:x>0.6505</cdr:x>
      <cdr:y>0.05912</cdr:y>
    </cdr:from>
    <cdr:to>
      <cdr:x>0.8247</cdr:x>
      <cdr:y>0.16056</cdr:y>
    </cdr:to>
    <cdr:sp macro="" textlink="">
      <cdr:nvSpPr>
        <cdr:cNvPr id="3" name="3 Metin kutusu"/>
        <cdr:cNvSpPr txBox="1"/>
      </cdr:nvSpPr>
      <cdr:spPr>
        <a:xfrm xmlns:a="http://schemas.openxmlformats.org/drawingml/2006/main" flipH="1">
          <a:off x="3746498" y="189958"/>
          <a:ext cx="1003301" cy="3259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tr-TR" sz="1100">
              <a:solidFill>
                <a:srgbClr val="FF0000"/>
              </a:solidFill>
            </a:rPr>
            <a:t>     Ortalama</a:t>
          </a:r>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1D2A-ED37-4A0E-BCB4-5FD8E3F7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1874</Words>
  <Characters>10687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KONYA PERAKENDE GÜVEN ENDEKSİ (KOPE)</vt:lpstr>
    </vt:vector>
  </TitlesOfParts>
  <Company>TOSHIBA</Company>
  <LinksUpToDate>false</LinksUpToDate>
  <CharactersWithSpaces>12536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KONYA PERAKENDE GÜVEN ENDEKSİ (KOPE)</dc:title>
  <dc:creator>tepav</dc:creator>
  <cp:lastModifiedBy>Microsoft hesabı</cp:lastModifiedBy>
  <cp:revision>30</cp:revision>
  <cp:lastPrinted>2016-05-03T08:20:00Z</cp:lastPrinted>
  <dcterms:created xsi:type="dcterms:W3CDTF">2016-05-02T13:51:00Z</dcterms:created>
  <dcterms:modified xsi:type="dcterms:W3CDTF">2016-05-16T09:16:00Z</dcterms:modified>
</cp:coreProperties>
</file>